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wmf" ContentType="image/x-wmf"/>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orpodotexto"/>
        <w:tabs>
          <w:tab w:val="clear" w:pos="708"/>
          <w:tab w:val="left" w:pos="9071" w:leader="none"/>
        </w:tabs>
        <w:jc w:val="center"/>
        <w:rPr/>
      </w:pPr>
      <w:r>
        <w:rPr/>
        <w:drawing>
          <wp:inline distT="0" distB="0" distL="0" distR="0">
            <wp:extent cx="800100" cy="847725"/>
            <wp:effectExtent l="0" t="0" r="0" b="0"/>
            <wp:docPr id="1" name="Imagem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7" descr=""/>
                    <pic:cNvPicPr>
                      <a:picLocks noChangeAspect="1" noChangeArrowheads="1"/>
                    </pic:cNvPicPr>
                  </pic:nvPicPr>
                  <pic:blipFill>
                    <a:blip r:embed="rId2"/>
                    <a:stretch>
                      <a:fillRect/>
                    </a:stretch>
                  </pic:blipFill>
                  <pic:spPr bwMode="auto">
                    <a:xfrm>
                      <a:off x="0" y="0"/>
                      <a:ext cx="800100" cy="847725"/>
                    </a:xfrm>
                    <a:prstGeom prst="rect">
                      <a:avLst/>
                    </a:prstGeom>
                  </pic:spPr>
                </pic:pic>
              </a:graphicData>
            </a:graphic>
          </wp:inline>
        </w:drawing>
      </w:r>
    </w:p>
    <w:p>
      <w:pPr>
        <w:pStyle w:val="Corpodotexto"/>
        <w:spacing w:lineRule="auto" w:line="216" w:before="0" w:after="0"/>
        <w:jc w:val="center"/>
        <w:rPr>
          <w:b/>
          <w:b/>
        </w:rPr>
      </w:pPr>
      <w:r>
        <w:rPr>
          <w:rFonts w:cs="Times New Roman" w:ascii="Times New Roman" w:hAnsi="Times New Roman"/>
          <w:b/>
        </w:rPr>
        <w:t>MINISTÉRIO DA DEFESA</w:t>
      </w:r>
    </w:p>
    <w:p>
      <w:pPr>
        <w:pStyle w:val="Corpodotexto"/>
        <w:spacing w:lineRule="auto" w:line="216" w:before="0" w:after="0"/>
        <w:jc w:val="center"/>
        <w:rPr>
          <w:b/>
          <w:b/>
        </w:rPr>
      </w:pPr>
      <w:r>
        <w:rPr>
          <w:rFonts w:cs="Times New Roman" w:ascii="Times New Roman" w:hAnsi="Times New Roman"/>
          <w:b/>
        </w:rPr>
        <w:t>EXÉRCITO BRASILEIRO</w:t>
      </w:r>
    </w:p>
    <w:p>
      <w:pPr>
        <w:pStyle w:val="Corpodotexto"/>
        <w:spacing w:lineRule="auto" w:line="216" w:before="0" w:after="0"/>
        <w:jc w:val="center"/>
        <w:rPr>
          <w:b/>
          <w:b/>
        </w:rPr>
      </w:pPr>
      <w:r>
        <w:rPr>
          <w:rFonts w:cs="Times New Roman" w:ascii="Times New Roman" w:hAnsi="Times New Roman"/>
          <w:b/>
        </w:rPr>
        <w:t>DEPARTAMENTO DE CIÊNCIA E TECNOLOGIA</w:t>
      </w:r>
    </w:p>
    <w:p>
      <w:pPr>
        <w:pStyle w:val="Corpodotexto"/>
        <w:spacing w:lineRule="auto" w:line="216" w:before="0" w:after="0"/>
        <w:jc w:val="center"/>
        <w:rPr>
          <w:b/>
          <w:b/>
          <w:bCs/>
        </w:rPr>
      </w:pPr>
      <w:r>
        <w:rPr>
          <w:rFonts w:cs="Times New Roman" w:ascii="Times New Roman" w:hAnsi="Times New Roman"/>
          <w:b/>
          <w:bCs/>
        </w:rPr>
        <w:t>CENTRO TECNOLÓGICO DO EXÉRCITO</w:t>
      </w:r>
    </w:p>
    <w:p>
      <w:pPr>
        <w:pStyle w:val="Corpodotexto"/>
        <w:spacing w:lineRule="auto" w:line="216" w:before="0" w:after="0"/>
        <w:jc w:val="center"/>
        <w:rPr>
          <w:rFonts w:cs="Arial"/>
          <w:b/>
          <w:b/>
          <w:bCs/>
        </w:rPr>
      </w:pPr>
      <w:r>
        <w:rPr>
          <w:rFonts w:cs="Arial" w:ascii="Times New Roman" w:hAnsi="Times New Roman"/>
          <w:b/>
          <w:bCs/>
          <w:color w:val="000000"/>
        </w:rPr>
        <w:t>CENTRO TECNOLÓGICO GENERAL ARGUS</w:t>
      </w:r>
    </w:p>
    <w:p>
      <w:pPr>
        <w:pStyle w:val="Normal"/>
        <w:spacing w:lineRule="auto" w:line="240" w:before="0" w:after="0"/>
        <w:jc w:val="center"/>
        <w:rPr>
          <w:rFonts w:cs="LiberationSerif-Bold"/>
          <w:b/>
          <w:b/>
          <w:bCs/>
          <w:color w:val="000000"/>
          <w:sz w:val="24"/>
          <w:szCs w:val="24"/>
        </w:rPr>
      </w:pPr>
      <w:r>
        <w:rPr>
          <w:rFonts w:cs="LiberationSerif-Bold"/>
          <w:b/>
          <w:bCs/>
          <w:color w:val="000000"/>
          <w:sz w:val="24"/>
          <w:szCs w:val="24"/>
        </w:rPr>
      </w:r>
    </w:p>
    <w:p>
      <w:pPr>
        <w:pStyle w:val="Normal"/>
        <w:spacing w:lineRule="auto" w:line="240" w:before="0" w:after="0"/>
        <w:jc w:val="center"/>
        <w:rPr>
          <w:rFonts w:cs="LiberationSerif-Bold"/>
          <w:b/>
          <w:b/>
          <w:bCs/>
          <w:color w:val="000000"/>
          <w:sz w:val="24"/>
          <w:szCs w:val="24"/>
        </w:rPr>
      </w:pPr>
      <w:r>
        <w:rPr>
          <w:rFonts w:cs="LiberationSerif-Bold"/>
          <w:b/>
          <w:bCs/>
          <w:color w:val="000000"/>
          <w:sz w:val="24"/>
          <w:szCs w:val="24"/>
        </w:rPr>
      </w:r>
    </w:p>
    <w:p>
      <w:pPr>
        <w:pStyle w:val="Normal"/>
        <w:spacing w:lineRule="auto" w:line="240" w:before="0" w:after="0"/>
        <w:jc w:val="center"/>
        <w:rPr>
          <w:rFonts w:cs="LiberationSerif-Bold"/>
          <w:b/>
          <w:b/>
          <w:bCs/>
          <w:color w:val="000000"/>
          <w:sz w:val="24"/>
          <w:szCs w:val="24"/>
        </w:rPr>
      </w:pPr>
      <w:r>
        <w:rPr>
          <w:rFonts w:cs="LiberationSerif-Bold"/>
          <w:b/>
          <w:bCs/>
          <w:color w:val="000000"/>
          <w:sz w:val="24"/>
          <w:szCs w:val="24"/>
        </w:rPr>
        <w:t>Estudo Técnico Preliminar</w:t>
      </w:r>
    </w:p>
    <w:p>
      <w:pPr>
        <w:pStyle w:val="Normal"/>
        <w:spacing w:lineRule="auto" w:line="240" w:before="0" w:after="0"/>
        <w:jc w:val="both"/>
        <w:rPr>
          <w:rFonts w:cs="LiberationSerif-Bold"/>
          <w:b/>
          <w:b/>
          <w:bCs/>
          <w:color w:val="000000"/>
          <w:sz w:val="24"/>
          <w:szCs w:val="24"/>
        </w:rPr>
      </w:pPr>
      <w:r>
        <w:rPr>
          <w:rFonts w:cs="LiberationSerif-Bold"/>
          <w:b/>
          <w:bCs/>
          <w:color w:val="000000"/>
          <w:sz w:val="24"/>
          <w:szCs w:val="24"/>
        </w:rPr>
      </w:r>
    </w:p>
    <w:p>
      <w:pPr>
        <w:pStyle w:val="Normal"/>
        <w:spacing w:lineRule="auto" w:line="240" w:before="0" w:after="0"/>
        <w:jc w:val="both"/>
        <w:rPr>
          <w:rFonts w:cs="LiberationSerif-Bold"/>
          <w:b/>
          <w:b/>
          <w:bCs/>
          <w:color w:val="000000"/>
          <w:sz w:val="24"/>
          <w:szCs w:val="24"/>
        </w:rPr>
      </w:pPr>
      <w:r>
        <w:rPr>
          <w:rFonts w:cs="LiberationSerif-Bold"/>
          <w:b/>
          <w:bCs/>
          <w:color w:val="000000"/>
          <w:sz w:val="24"/>
          <w:szCs w:val="24"/>
        </w:rPr>
      </w:r>
    </w:p>
    <w:p>
      <w:pPr>
        <w:pStyle w:val="Normal"/>
        <w:spacing w:lineRule="auto" w:line="240" w:before="0" w:after="0"/>
        <w:jc w:val="both"/>
        <w:rPr>
          <w:rFonts w:cs="LiberationSerif-Bold"/>
          <w:b/>
          <w:b/>
          <w:bCs/>
          <w:color w:val="000000"/>
          <w:sz w:val="24"/>
          <w:szCs w:val="24"/>
        </w:rPr>
      </w:pPr>
      <w:r>
        <w:rPr>
          <w:rFonts w:cs="LiberationSerif-Bold"/>
          <w:b/>
          <w:bCs/>
          <w:color w:val="000000"/>
          <w:sz w:val="24"/>
          <w:szCs w:val="24"/>
        </w:rPr>
        <w:t>1. Informações Básicas</w:t>
      </w:r>
    </w:p>
    <w:p>
      <w:pPr>
        <w:pStyle w:val="Normal"/>
        <w:spacing w:lineRule="auto" w:line="240" w:before="0" w:after="0"/>
        <w:jc w:val="both"/>
        <w:rPr>
          <w:rFonts w:cs="LiberationSerif-Bold"/>
          <w:b/>
          <w:b/>
          <w:bCs/>
          <w:color w:val="000000"/>
          <w:sz w:val="24"/>
          <w:szCs w:val="24"/>
        </w:rPr>
      </w:pPr>
      <w:r>
        <w:rPr>
          <w:rFonts w:cs="LiberationSerif-Bold"/>
          <w:b/>
          <w:bCs/>
          <w:color w:val="000000"/>
          <w:sz w:val="24"/>
          <w:szCs w:val="24"/>
        </w:rPr>
      </w:r>
    </w:p>
    <w:p>
      <w:pPr>
        <w:pStyle w:val="Normal"/>
        <w:spacing w:lineRule="auto" w:line="240" w:before="0" w:after="0"/>
        <w:jc w:val="both"/>
        <w:rPr>
          <w:rFonts w:cs="LiberationSerif"/>
          <w:sz w:val="24"/>
          <w:szCs w:val="24"/>
        </w:rPr>
      </w:pPr>
      <w:r>
        <w:rPr>
          <w:rFonts w:cs="LiberationSerif"/>
          <w:sz w:val="24"/>
          <w:szCs w:val="24"/>
        </w:rPr>
        <w:t xml:space="preserve">Número do Estudo Técnico Preliminar: </w:t>
      </w:r>
      <w:r>
        <w:rPr>
          <w:rFonts w:cs="LiberationSerif"/>
          <w:color w:val="000000"/>
          <w:sz w:val="24"/>
          <w:szCs w:val="24"/>
        </w:rPr>
        <w:t>006/2023</w:t>
      </w:r>
    </w:p>
    <w:p>
      <w:pPr>
        <w:pStyle w:val="Normal"/>
        <w:spacing w:lineRule="auto" w:line="240" w:before="0" w:after="0"/>
        <w:jc w:val="both"/>
        <w:rPr>
          <w:rFonts w:cs="LiberationSerif"/>
          <w:color w:val="000000"/>
          <w:sz w:val="24"/>
          <w:szCs w:val="24"/>
        </w:rPr>
      </w:pPr>
      <w:r>
        <w:rPr>
          <w:rFonts w:cs="LiberationSerif"/>
          <w:color w:val="000000"/>
          <w:sz w:val="24"/>
          <w:szCs w:val="24"/>
        </w:rPr>
      </w:r>
    </w:p>
    <w:p>
      <w:pPr>
        <w:pStyle w:val="Normal"/>
        <w:spacing w:lineRule="auto" w:line="240" w:before="0" w:after="0"/>
        <w:jc w:val="both"/>
        <w:rPr>
          <w:rFonts w:cs="LiberationSerif-Bold"/>
          <w:b/>
          <w:b/>
          <w:bCs/>
          <w:color w:val="000000"/>
          <w:sz w:val="24"/>
          <w:szCs w:val="24"/>
        </w:rPr>
      </w:pPr>
      <w:r>
        <w:rPr>
          <w:rFonts w:cs="LiberationSerif-Bold"/>
          <w:b/>
          <w:bCs/>
          <w:color w:val="000000"/>
          <w:sz w:val="24"/>
          <w:szCs w:val="24"/>
        </w:rPr>
        <w:t>2. Descrição da necessidade</w:t>
      </w:r>
    </w:p>
    <w:p>
      <w:pPr>
        <w:pStyle w:val="Normal"/>
        <w:spacing w:lineRule="auto" w:line="240" w:before="0" w:after="0"/>
        <w:jc w:val="both"/>
        <w:rPr>
          <w:rFonts w:cs="LiberationSerif-Bold"/>
          <w:b/>
          <w:b/>
          <w:bCs/>
          <w:color w:val="000000"/>
          <w:sz w:val="24"/>
          <w:szCs w:val="24"/>
        </w:rPr>
      </w:pPr>
      <w:r>
        <w:rPr>
          <w:rFonts w:cs="LiberationSerif-Bold"/>
          <w:b/>
          <w:bCs/>
          <w:color w:val="000000"/>
          <w:sz w:val="24"/>
          <w:szCs w:val="24"/>
        </w:rPr>
      </w:r>
    </w:p>
    <w:p>
      <w:pPr>
        <w:pStyle w:val="Normal"/>
        <w:spacing w:lineRule="auto" w:line="240" w:before="0" w:after="0"/>
        <w:jc w:val="both"/>
        <w:rPr>
          <w:color w:val="000000"/>
        </w:rPr>
      </w:pPr>
      <w:r>
        <w:rPr>
          <w:color w:val="000000"/>
          <w:sz w:val="24"/>
          <w:szCs w:val="24"/>
        </w:rPr>
        <w:t>Aquisição de Bomba Centrífuga 2’X11/2’ 3CV 220V/380V para restabelecer o abastecimento de água no IDQBRN, permitindo a continuidade de execução das atividades-meio e atividades finalísticas.</w:t>
      </w:r>
    </w:p>
    <w:p>
      <w:pPr>
        <w:pStyle w:val="Normal"/>
        <w:spacing w:lineRule="auto" w:line="240" w:before="0" w:after="0"/>
        <w:jc w:val="both"/>
        <w:rPr>
          <w:rFonts w:cs="LiberationSerif-Bold"/>
          <w:b/>
          <w:b/>
          <w:bCs/>
          <w:color w:val="000000"/>
          <w:sz w:val="24"/>
          <w:szCs w:val="24"/>
        </w:rPr>
      </w:pPr>
      <w:r>
        <w:rPr>
          <w:rFonts w:cs="LiberationSerif-Bold"/>
          <w:b/>
          <w:bCs/>
          <w:color w:val="000000"/>
          <w:sz w:val="24"/>
          <w:szCs w:val="24"/>
        </w:rPr>
        <w:t>3. Área requisitante</w:t>
      </w:r>
    </w:p>
    <w:p>
      <w:pPr>
        <w:pStyle w:val="Normal"/>
        <w:spacing w:lineRule="auto" w:line="240" w:before="0" w:after="0"/>
        <w:jc w:val="both"/>
        <w:rPr>
          <w:rFonts w:cs="LiberationSerif-Bold"/>
          <w:b/>
          <w:b/>
          <w:bCs/>
          <w:color w:val="000000"/>
          <w:sz w:val="24"/>
          <w:szCs w:val="24"/>
        </w:rPr>
      </w:pPr>
      <w:r>
        <w:rPr>
          <w:rFonts w:cs="LiberationSerif-Bold"/>
          <w:b/>
          <w:bCs/>
          <w:color w:val="000000"/>
          <w:sz w:val="24"/>
          <w:szCs w:val="24"/>
        </w:rPr>
      </w:r>
    </w:p>
    <w:tbl>
      <w:tblPr>
        <w:tblStyle w:val="Tabelacomgrade"/>
        <w:tblW w:w="991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530"/>
        <w:gridCol w:w="5387"/>
      </w:tblGrid>
      <w:tr>
        <w:trPr/>
        <w:tc>
          <w:tcPr>
            <w:tcW w:w="4530" w:type="dxa"/>
            <w:tcBorders/>
          </w:tcPr>
          <w:p>
            <w:pPr>
              <w:pStyle w:val="Normal"/>
              <w:widowControl w:val="false"/>
              <w:suppressAutoHyphens w:val="true"/>
              <w:spacing w:lineRule="auto" w:line="240" w:before="0" w:after="0"/>
              <w:jc w:val="center"/>
              <w:rPr>
                <w:rFonts w:cs="LiberationSerif-Bold"/>
                <w:b/>
                <w:b/>
                <w:bCs/>
                <w:color w:val="000000"/>
                <w:sz w:val="24"/>
                <w:szCs w:val="24"/>
              </w:rPr>
            </w:pPr>
            <w:r>
              <w:rPr>
                <w:rFonts w:eastAsia="Calibri" w:cs="LiberationSerif-Bold"/>
                <w:b/>
                <w:bCs/>
                <w:color w:val="000000"/>
                <w:kern w:val="0"/>
                <w:sz w:val="24"/>
                <w:szCs w:val="24"/>
                <w:lang w:val="pt-BR" w:eastAsia="en-US" w:bidi="ar-SA"/>
              </w:rPr>
              <w:t>Área Requisitante</w:t>
            </w:r>
          </w:p>
        </w:tc>
        <w:tc>
          <w:tcPr>
            <w:tcW w:w="5387" w:type="dxa"/>
            <w:tcBorders/>
          </w:tcPr>
          <w:p>
            <w:pPr>
              <w:pStyle w:val="Normal"/>
              <w:widowControl w:val="false"/>
              <w:suppressAutoHyphens w:val="true"/>
              <w:spacing w:lineRule="auto" w:line="240" w:before="0" w:after="0"/>
              <w:jc w:val="center"/>
              <w:rPr>
                <w:rFonts w:cs="LiberationSerif-Bold"/>
                <w:b/>
                <w:b/>
                <w:bCs/>
                <w:color w:val="000000"/>
                <w:sz w:val="24"/>
                <w:szCs w:val="24"/>
              </w:rPr>
            </w:pPr>
            <w:r>
              <w:rPr>
                <w:rFonts w:eastAsia="Calibri" w:cs="LiberationSerif-Bold"/>
                <w:b/>
                <w:bCs/>
                <w:color w:val="000000"/>
                <w:kern w:val="0"/>
                <w:sz w:val="24"/>
                <w:szCs w:val="24"/>
                <w:lang w:val="pt-BR" w:eastAsia="en-US" w:bidi="ar-SA"/>
              </w:rPr>
              <w:t>Responsável</w:t>
            </w:r>
          </w:p>
        </w:tc>
      </w:tr>
      <w:tr>
        <w:trPr/>
        <w:tc>
          <w:tcPr>
            <w:tcW w:w="4530" w:type="dxa"/>
            <w:tcBorders/>
          </w:tcPr>
          <w:p>
            <w:pPr>
              <w:pStyle w:val="Normal"/>
              <w:widowControl w:val="false"/>
              <w:suppressAutoHyphens w:val="true"/>
              <w:spacing w:lineRule="auto" w:line="240" w:before="0" w:after="0"/>
              <w:jc w:val="center"/>
              <w:rPr>
                <w:rFonts w:ascii="Calibri" w:hAnsi="Calibri" w:eastAsia="Calibri" w:cs="LiberationSerif-Bold"/>
                <w:b w:val="false"/>
                <w:b w:val="false"/>
                <w:bCs w:val="false"/>
                <w:color w:val="000000"/>
                <w:kern w:val="0"/>
                <w:sz w:val="24"/>
                <w:szCs w:val="24"/>
                <w:lang w:val="pt-BR" w:eastAsia="en-US" w:bidi="ar-SA"/>
              </w:rPr>
            </w:pPr>
            <w:r>
              <w:rPr>
                <w:rFonts w:eastAsia="Calibri" w:cs="LiberationSerif-Bold"/>
                <w:b w:val="false"/>
                <w:bCs w:val="false"/>
                <w:color w:val="000000"/>
                <w:kern w:val="0"/>
                <w:sz w:val="24"/>
                <w:szCs w:val="24"/>
                <w:lang w:val="pt-BR" w:eastAsia="en-US" w:bidi="ar-SA"/>
              </w:rPr>
              <w:t>IDQBRN</w:t>
            </w:r>
          </w:p>
        </w:tc>
        <w:tc>
          <w:tcPr>
            <w:tcW w:w="5387" w:type="dxa"/>
            <w:tcBorders/>
          </w:tcPr>
          <w:p>
            <w:pPr>
              <w:pStyle w:val="Normal"/>
              <w:widowControl w:val="false"/>
              <w:suppressAutoHyphens w:val="true"/>
              <w:spacing w:lineRule="auto" w:line="240" w:before="0" w:after="0"/>
              <w:jc w:val="center"/>
              <w:rPr>
                <w:rFonts w:ascii="Calibri" w:hAnsi="Calibri" w:eastAsia="Calibri" w:cs="LiberationSerif-Bold"/>
                <w:b w:val="false"/>
                <w:b w:val="false"/>
                <w:bCs w:val="false"/>
                <w:color w:val="000000"/>
                <w:kern w:val="0"/>
                <w:sz w:val="24"/>
                <w:szCs w:val="24"/>
                <w:lang w:val="pt-BR" w:eastAsia="en-US" w:bidi="ar-SA"/>
              </w:rPr>
            </w:pPr>
            <w:r>
              <w:rPr>
                <w:rFonts w:eastAsia="Calibri" w:cs="LiberationSerif-Bold"/>
                <w:b w:val="false"/>
                <w:bCs w:val="false"/>
                <w:color w:val="000000"/>
                <w:kern w:val="0"/>
                <w:sz w:val="24"/>
                <w:szCs w:val="24"/>
                <w:lang w:val="pt-BR" w:eastAsia="en-US" w:bidi="ar-SA"/>
              </w:rPr>
              <w:t>Maj GOMES VIEIRA</w:t>
            </w:r>
          </w:p>
        </w:tc>
      </w:tr>
    </w:tbl>
    <w:p>
      <w:pPr>
        <w:pStyle w:val="Normal"/>
        <w:spacing w:lineRule="auto" w:line="240" w:before="0" w:after="0"/>
        <w:jc w:val="both"/>
        <w:rPr>
          <w:rFonts w:cs="LiberationSerif-Bold"/>
          <w:b/>
          <w:b/>
          <w:bCs/>
          <w:color w:val="000000"/>
          <w:sz w:val="24"/>
          <w:szCs w:val="24"/>
        </w:rPr>
      </w:pPr>
      <w:r>
        <w:rPr>
          <w:rFonts w:cs="LiberationSerif-Bold"/>
          <w:b/>
          <w:bCs/>
          <w:color w:val="000000"/>
          <w:sz w:val="24"/>
          <w:szCs w:val="24"/>
        </w:rPr>
      </w:r>
    </w:p>
    <w:p>
      <w:pPr>
        <w:pStyle w:val="Normal"/>
        <w:spacing w:lineRule="auto" w:line="240" w:before="0" w:after="0"/>
        <w:jc w:val="both"/>
        <w:rPr>
          <w:rFonts w:cs="LiberationSerif-Bold"/>
          <w:b/>
          <w:b/>
          <w:bCs/>
          <w:color w:val="000000"/>
          <w:sz w:val="24"/>
          <w:szCs w:val="24"/>
        </w:rPr>
      </w:pPr>
      <w:r>
        <w:rPr>
          <w:rFonts w:cs="LiberationSerif-Bold"/>
          <w:b/>
          <w:bCs/>
          <w:color w:val="000000"/>
          <w:sz w:val="24"/>
          <w:szCs w:val="24"/>
        </w:rPr>
        <w:t>4. Descrição dos Requisitos da Contratação necessários e suficientes à escolha da solução</w:t>
      </w:r>
    </w:p>
    <w:p>
      <w:pPr>
        <w:pStyle w:val="Standard"/>
        <w:widowControl w:val="false"/>
        <w:spacing w:lineRule="auto" w:line="276" w:before="240" w:after="160"/>
        <w:jc w:val="both"/>
        <w:rPr>
          <w:sz w:val="24"/>
          <w:szCs w:val="24"/>
        </w:rPr>
      </w:pPr>
      <w:r>
        <w:rPr>
          <w:rFonts w:cs="Calibri" w:ascii="Calibri" w:hAnsi="Calibri"/>
          <w:b/>
          <w:bCs/>
          <w:color w:val="000000"/>
          <w:sz w:val="24"/>
          <w:szCs w:val="24"/>
        </w:rPr>
        <w:t>4.1. Suporte Legal</w:t>
      </w:r>
    </w:p>
    <w:p>
      <w:pPr>
        <w:pStyle w:val="Standard"/>
        <w:widowControl w:val="false"/>
        <w:spacing w:lineRule="auto" w:line="276" w:before="240" w:after="160"/>
        <w:jc w:val="both"/>
        <w:rPr>
          <w:b w:val="false"/>
          <w:b w:val="false"/>
          <w:bCs w:val="false"/>
          <w:sz w:val="24"/>
          <w:szCs w:val="24"/>
        </w:rPr>
      </w:pPr>
      <w:r>
        <w:rPr>
          <w:rFonts w:cs="Calibri" w:ascii="Calibri" w:hAnsi="Calibri"/>
          <w:b w:val="false"/>
          <w:bCs w:val="false"/>
          <w:color w:val="000000"/>
          <w:sz w:val="24"/>
          <w:szCs w:val="24"/>
        </w:rPr>
        <w:t>Os normativos legais visando a efetivação da contratação de aquisição de bomba centrífuga serão os seguintes:</w:t>
      </w:r>
    </w:p>
    <w:p>
      <w:pPr>
        <w:pStyle w:val="Standard"/>
        <w:widowControl w:val="false"/>
        <w:spacing w:lineRule="auto" w:line="276" w:before="240" w:after="160"/>
        <w:jc w:val="both"/>
        <w:rPr/>
      </w:pPr>
      <w:r>
        <w:rPr>
          <w:rFonts w:cs="Calibri" w:ascii="Calibri" w:hAnsi="Calibri"/>
          <w:color w:val="000000"/>
          <w:sz w:val="22"/>
          <w:szCs w:val="22"/>
        </w:rPr>
        <w:t>a)</w:t>
      </w:r>
      <w:r>
        <w:rPr>
          <w:rFonts w:cs="Calibri" w:ascii="Calibri" w:hAnsi="Calibri"/>
          <w:b/>
          <w:bCs/>
          <w:color w:val="000000"/>
          <w:sz w:val="22"/>
          <w:szCs w:val="22"/>
        </w:rPr>
        <w:t xml:space="preserve"> Lei 8.666/93 de 21/06/1993 e suas alterações</w:t>
      </w:r>
      <w:r>
        <w:rPr>
          <w:rFonts w:cs="Calibri" w:ascii="Calibri" w:hAnsi="Calibri"/>
          <w:color w:val="000000"/>
          <w:sz w:val="22"/>
          <w:szCs w:val="22"/>
        </w:rPr>
        <w:t xml:space="preserve"> - Regulamenta o art. 37, inciso XXI, da Constituição Federal, institui normas para licitações e contratos da Administração Pública e dá outras providências.</w:t>
      </w:r>
    </w:p>
    <w:p>
      <w:pPr>
        <w:pStyle w:val="Standard"/>
        <w:widowControl w:val="false"/>
        <w:spacing w:lineRule="auto" w:line="276" w:before="240" w:after="160"/>
        <w:jc w:val="both"/>
        <w:rPr/>
      </w:pPr>
      <w:r>
        <w:rPr>
          <w:rFonts w:cs="Calibri" w:ascii="Calibri" w:hAnsi="Calibri"/>
          <w:color w:val="000000"/>
          <w:sz w:val="22"/>
          <w:szCs w:val="22"/>
        </w:rPr>
        <w:t xml:space="preserve">b) </w:t>
      </w:r>
      <w:r>
        <w:rPr>
          <w:rFonts w:cs="Calibri" w:ascii="Calibri" w:hAnsi="Calibri"/>
          <w:b/>
          <w:bCs/>
          <w:color w:val="000000"/>
          <w:sz w:val="22"/>
          <w:szCs w:val="22"/>
        </w:rPr>
        <w:t>Instrução Normativa nº 73 de 05 de agosto de 2020 e suas alterações -</w:t>
      </w:r>
      <w:r>
        <w:rPr>
          <w:rFonts w:cs="Calibri" w:ascii="Calibri" w:hAnsi="Calibri"/>
          <w:color w:val="000000"/>
          <w:sz w:val="22"/>
          <w:szCs w:val="22"/>
        </w:rPr>
        <w:t xml:space="preserve"> Dispõe sobre o procedimento administrativo para a realização de pesquisa de preços para a aquisição de bens e contratação de serviços em geral, no âmbito da administração pública federal direta, autárquica e fundacional.</w:t>
      </w:r>
    </w:p>
    <w:p>
      <w:pPr>
        <w:pStyle w:val="Standard"/>
        <w:widowControl w:val="false"/>
        <w:spacing w:lineRule="auto" w:line="276" w:before="240" w:after="160"/>
        <w:jc w:val="both"/>
        <w:rPr/>
      </w:pPr>
      <w:r>
        <w:rPr>
          <w:rFonts w:cs="Calibri" w:ascii="Calibri" w:hAnsi="Calibri"/>
          <w:color w:val="000000"/>
          <w:sz w:val="22"/>
          <w:szCs w:val="22"/>
        </w:rPr>
        <w:t xml:space="preserve">c) </w:t>
      </w:r>
      <w:r>
        <w:rPr>
          <w:rFonts w:cs="Calibri" w:ascii="Calibri" w:hAnsi="Calibri"/>
          <w:b/>
          <w:bCs/>
          <w:color w:val="000000"/>
          <w:sz w:val="22"/>
          <w:szCs w:val="22"/>
        </w:rPr>
        <w:t>Guia Nacional de Contratações Sustentáveis, edição 2019</w:t>
      </w:r>
      <w:r>
        <w:rPr>
          <w:rFonts w:cs="Calibri" w:ascii="Calibri" w:hAnsi="Calibri"/>
          <w:color w:val="000000"/>
          <w:sz w:val="22"/>
          <w:szCs w:val="22"/>
        </w:rPr>
        <w:t xml:space="preserve"> – Compilado de normas existentes cujo grande objetivo é </w:t>
      </w:r>
      <w:r>
        <w:rPr>
          <w:rFonts w:eastAsia="Arial" w:cs="Calibri" w:ascii="Calibri" w:hAnsi="Calibri"/>
          <w:color w:val="000000"/>
          <w:sz w:val="22"/>
          <w:szCs w:val="22"/>
        </w:rPr>
        <w:t xml:space="preserve">assegurar padrões de produção e consumo sustentáveis capazes de substituir os padrões atualmente vigentes (produtor/poluidor e consumidor/consumista), </w:t>
      </w:r>
      <w:r>
        <w:rPr>
          <w:rFonts w:eastAsia="Arial" w:cs="Calibri" w:ascii="Calibri" w:hAnsi="Calibri"/>
          <w:b/>
          <w:bCs/>
          <w:color w:val="000000"/>
          <w:sz w:val="22"/>
          <w:szCs w:val="22"/>
        </w:rPr>
        <w:t>altamente prejudiciais ao meio ambiente</w:t>
      </w:r>
      <w:r>
        <w:rPr>
          <w:rFonts w:eastAsia="Arial" w:cs="Calibri" w:ascii="Calibri" w:hAnsi="Calibri"/>
          <w:color w:val="000000"/>
          <w:sz w:val="22"/>
          <w:szCs w:val="22"/>
        </w:rPr>
        <w:t>, por padrões mais razoáveis e adequados, que sejam eficientes no uso de recursos naturais, de infraestrutura e de acesso a serviços básicos. O foco deixa de ser no consumo e altera-se para a cidadania e a preservação com o meio ambiente.</w:t>
      </w:r>
    </w:p>
    <w:p>
      <w:pPr>
        <w:pStyle w:val="Standard"/>
        <w:widowControl w:val="false"/>
        <w:spacing w:lineRule="auto" w:line="276" w:before="240" w:after="160"/>
        <w:jc w:val="both"/>
        <w:rPr>
          <w:rFonts w:ascii="Calibri" w:hAnsi="Calibri" w:cs="Calibri"/>
          <w:b/>
          <w:b/>
          <w:bCs/>
          <w:sz w:val="22"/>
          <w:szCs w:val="22"/>
        </w:rPr>
      </w:pPr>
      <w:r>
        <w:rPr>
          <w:rFonts w:cs="Calibri" w:ascii="Calibri" w:hAnsi="Calibri"/>
          <w:b/>
          <w:bCs/>
          <w:sz w:val="22"/>
          <w:szCs w:val="22"/>
        </w:rPr>
        <w:t>4.2. Natureza da Contratação:</w:t>
      </w:r>
    </w:p>
    <w:p>
      <w:pPr>
        <w:pStyle w:val="Standard"/>
        <w:widowControl w:val="false"/>
        <w:spacing w:lineRule="auto" w:line="276" w:before="240" w:after="160"/>
        <w:jc w:val="both"/>
        <w:rPr/>
      </w:pPr>
      <w:r>
        <w:rPr>
          <w:rFonts w:cs="Calibri" w:ascii="Calibri" w:hAnsi="Calibri"/>
          <w:sz w:val="22"/>
          <w:szCs w:val="22"/>
        </w:rPr>
        <w:t>É objeto do presente processo administrativo a aquisição de</w:t>
      </w:r>
      <w:r>
        <w:rPr>
          <w:rFonts w:eastAsia="Calibri" w:cs="Calibri" w:ascii="Calibri" w:hAnsi="Calibri" w:asciiTheme="minorHAnsi" w:cstheme="minorHAnsi" w:eastAsiaTheme="minorHAnsi" w:hAnsiTheme="minorHAnsi"/>
          <w:kern w:val="0"/>
          <w:sz w:val="22"/>
          <w:szCs w:val="22"/>
          <w:lang w:eastAsia="en-US" w:bidi="ar-SA"/>
        </w:rPr>
        <w:t xml:space="preserve"> bomba centrífuga para restabelecer o abastecimento de água no</w:t>
      </w:r>
      <w:r>
        <w:rPr>
          <w:rFonts w:cs="Calibri" w:ascii="Calibri" w:hAnsi="Calibri"/>
          <w:color w:val="000000"/>
          <w:sz w:val="22"/>
          <w:szCs w:val="22"/>
        </w:rPr>
        <w:t xml:space="preserve"> Instituto de Defesa Química, </w:t>
      </w:r>
      <w:r>
        <w:rPr>
          <w:rFonts w:cs="Calibri" w:ascii="Calibri" w:hAnsi="Calibri"/>
          <w:sz w:val="22"/>
          <w:szCs w:val="22"/>
        </w:rPr>
        <w:t>Biológica, Radiológica e</w:t>
      </w:r>
      <w:r>
        <w:rPr>
          <w:rFonts w:cs="Calibri" w:ascii="Calibri" w:hAnsi="Calibri"/>
          <w:color w:val="000000"/>
          <w:sz w:val="22"/>
          <w:szCs w:val="22"/>
        </w:rPr>
        <w:t xml:space="preserve"> Nuclear.</w:t>
      </w:r>
    </w:p>
    <w:p>
      <w:pPr>
        <w:pStyle w:val="Standard"/>
        <w:widowControl w:val="false"/>
        <w:spacing w:lineRule="auto" w:line="276" w:before="240" w:after="160"/>
        <w:jc w:val="both"/>
        <w:rPr>
          <w:rFonts w:ascii="Calibri" w:hAnsi="Calibri" w:cs="Calibri"/>
          <w:b/>
          <w:b/>
          <w:bCs/>
          <w:sz w:val="22"/>
          <w:szCs w:val="22"/>
        </w:rPr>
      </w:pPr>
      <w:r>
        <w:rPr>
          <w:rFonts w:cs="Calibri" w:ascii="Calibri" w:hAnsi="Calibri"/>
          <w:b/>
          <w:bCs/>
          <w:sz w:val="22"/>
          <w:szCs w:val="22"/>
        </w:rPr>
        <w:t>4.3. Planejamento</w:t>
      </w:r>
    </w:p>
    <w:p>
      <w:pPr>
        <w:pStyle w:val="Standard"/>
        <w:widowControl w:val="false"/>
        <w:spacing w:lineRule="auto" w:line="276" w:before="240" w:after="160"/>
        <w:rPr>
          <w:rFonts w:ascii="Calibri" w:hAnsi="Calibri" w:cs="Calibri"/>
          <w:sz w:val="22"/>
          <w:szCs w:val="22"/>
        </w:rPr>
      </w:pPr>
      <w:r>
        <w:rPr>
          <w:rFonts w:cs="Calibri" w:ascii="Calibri" w:hAnsi="Calibri"/>
          <w:sz w:val="22"/>
          <w:szCs w:val="22"/>
        </w:rPr>
        <w:t>Conforme descrito no item 11.</w:t>
      </w:r>
    </w:p>
    <w:p>
      <w:pPr>
        <w:pStyle w:val="Standard"/>
        <w:widowControl w:val="false"/>
        <w:spacing w:lineRule="auto" w:line="276" w:before="240" w:after="160"/>
        <w:jc w:val="both"/>
        <w:rPr/>
      </w:pPr>
      <w:r>
        <w:rPr>
          <w:rFonts w:cs="Calibri" w:ascii="Calibri" w:hAnsi="Calibri"/>
          <w:b/>
          <w:bCs/>
          <w:sz w:val="22"/>
          <w:szCs w:val="22"/>
        </w:rPr>
        <w:t>4.4. Transição Contratual:</w:t>
      </w:r>
    </w:p>
    <w:p>
      <w:pPr>
        <w:pStyle w:val="Standard"/>
        <w:widowControl w:val="false"/>
        <w:spacing w:lineRule="auto" w:line="276" w:before="240" w:after="160"/>
        <w:jc w:val="both"/>
        <w:rPr>
          <w:rFonts w:ascii="Calibri" w:hAnsi="Calibri" w:cs="Calibri"/>
          <w:sz w:val="22"/>
          <w:szCs w:val="22"/>
        </w:rPr>
      </w:pPr>
      <w:r>
        <w:rPr>
          <w:rFonts w:cs="Calibri" w:ascii="Calibri" w:hAnsi="Calibri"/>
          <w:sz w:val="22"/>
          <w:szCs w:val="22"/>
        </w:rPr>
        <w:t>Este processo administrativo não contempla a sub-rotina de transição contratual com transferência de conhecimento, tecnologia e demais técnicas empregadas, corroborado pelo perfil do material a ser adquirido.</w:t>
      </w:r>
    </w:p>
    <w:p>
      <w:pPr>
        <w:pStyle w:val="Standard"/>
        <w:widowControl w:val="false"/>
        <w:spacing w:lineRule="auto" w:line="276" w:before="240" w:after="160"/>
        <w:jc w:val="both"/>
        <w:rPr>
          <w:rFonts w:ascii="Calibri" w:hAnsi="Calibri" w:cs="Calibri"/>
          <w:b/>
          <w:b/>
          <w:bCs/>
          <w:sz w:val="22"/>
          <w:szCs w:val="22"/>
        </w:rPr>
      </w:pPr>
      <w:r>
        <w:rPr>
          <w:rFonts w:cs="Calibri" w:ascii="Calibri" w:hAnsi="Calibri"/>
          <w:b/>
          <w:bCs/>
          <w:sz w:val="22"/>
          <w:szCs w:val="22"/>
        </w:rPr>
        <w:t>4.5. Análise de contratações anteriores</w:t>
      </w:r>
    </w:p>
    <w:p>
      <w:pPr>
        <w:pStyle w:val="Normal"/>
        <w:spacing w:lineRule="auto" w:line="276" w:before="240" w:after="160"/>
        <w:jc w:val="both"/>
        <w:rPr>
          <w:rFonts w:ascii="Calibri" w:hAnsi="Calibri" w:cs="Calibri"/>
          <w:color w:val="000000"/>
        </w:rPr>
      </w:pPr>
      <w:r>
        <w:rPr>
          <w:rFonts w:cs="Calibri"/>
          <w:color w:val="000000"/>
          <w:sz w:val="24"/>
          <w:szCs w:val="24"/>
        </w:rPr>
        <w:t>A aquisição de bomba centrífuga tem importância fundamental para a manutenção das atividades deste Instituto e consequentemente, na qualidade dos trabalhos realizados e nos serviços prestados pelos mesmos à Força Terrestre.</w:t>
      </w:r>
    </w:p>
    <w:p>
      <w:pPr>
        <w:pStyle w:val="Normal"/>
        <w:spacing w:lineRule="auto" w:line="240" w:before="0" w:after="0"/>
        <w:jc w:val="both"/>
        <w:rPr>
          <w:rFonts w:cs="LiberationSerif-Bold"/>
          <w:b/>
          <w:b/>
          <w:bCs/>
          <w:color w:val="000000"/>
          <w:sz w:val="24"/>
          <w:szCs w:val="24"/>
        </w:rPr>
      </w:pPr>
      <w:r>
        <w:rPr>
          <w:rFonts w:cs="LiberationSerif-Bold"/>
          <w:b/>
          <w:bCs/>
          <w:color w:val="000000"/>
          <w:sz w:val="24"/>
          <w:szCs w:val="24"/>
        </w:rPr>
        <w:t>5. Levantamento de Mercado</w:t>
      </w:r>
    </w:p>
    <w:p>
      <w:pPr>
        <w:pStyle w:val="Textojustificadorecuoprimeiralinha"/>
        <w:spacing w:lineRule="auto" w:line="276" w:beforeAutospacing="0" w:before="240" w:afterAutospacing="0" w:after="160"/>
        <w:jc w:val="both"/>
        <w:rPr>
          <w:rFonts w:ascii="Calibri" w:hAnsi="Calibri" w:cs="Calibri" w:asciiTheme="minorHAnsi" w:cstheme="minorHAnsi" w:hAnsiTheme="minorHAnsi"/>
          <w:sz w:val="22"/>
          <w:szCs w:val="22"/>
        </w:rPr>
      </w:pPr>
      <w:r>
        <w:rPr>
          <w:rFonts w:cs="Calibri" w:ascii="Calibri" w:hAnsi="Calibri"/>
          <w:color w:val="000000"/>
          <w:sz w:val="22"/>
          <w:szCs w:val="22"/>
        </w:rPr>
        <w:t>A pesquisa de preço foi realizada observando os critérios da Instrução Normativa n° 65/2021-SEGES/ME, conforme observado no Relatório de Pesquisa de Preços. Para o item em questão, o preço de referência foi fixado por meio de pesquisa direta com fornecedores e painel de preços.</w:t>
      </w:r>
    </w:p>
    <w:p>
      <w:pPr>
        <w:pStyle w:val="Normal"/>
        <w:spacing w:lineRule="auto" w:line="240" w:before="0" w:after="0"/>
        <w:jc w:val="both"/>
        <w:rPr>
          <w:rFonts w:cs="LiberationSerif-Bold"/>
          <w:b/>
          <w:b/>
          <w:bCs/>
          <w:color w:val="000000"/>
          <w:sz w:val="24"/>
          <w:szCs w:val="24"/>
        </w:rPr>
      </w:pPr>
      <w:r>
        <w:rPr>
          <w:rFonts w:cs="LiberationSerif-Bold"/>
          <w:b/>
          <w:bCs/>
          <w:color w:val="000000"/>
          <w:sz w:val="24"/>
          <w:szCs w:val="24"/>
        </w:rPr>
        <w:t>6. Descrição da solução como um todo</w:t>
      </w:r>
    </w:p>
    <w:p>
      <w:pPr>
        <w:pStyle w:val="Standard"/>
        <w:widowControl w:val="false"/>
        <w:spacing w:lineRule="auto" w:line="276" w:before="240" w:after="160"/>
        <w:jc w:val="both"/>
        <w:rPr>
          <w:rFonts w:ascii="Calibri" w:hAnsi="Calibri" w:cs="Calibri" w:asciiTheme="minorHAnsi" w:cstheme="minorHAnsi" w:hAnsiTheme="minorHAnsi"/>
          <w:sz w:val="22"/>
          <w:szCs w:val="22"/>
        </w:rPr>
      </w:pPr>
      <w:r>
        <w:rPr>
          <w:rFonts w:cs="Calibri" w:ascii="Calibri" w:hAnsi="Calibri"/>
          <w:sz w:val="22"/>
          <w:szCs w:val="22"/>
        </w:rPr>
        <w:t>A forma sugerida para a efetivação desta aquisição é a realização de uma Dispensa Eletrônica, uma vez que a aquisição ora pretendida está de acordo com o art. 75 da Nova Lei de Licitações e Contratos Administrativos nº 14.133/2021, que traz, em seu escopo, as possibilidades de compras por meio da dispensa da licitação. Adicionalmente, o critério de dispensa a ser utilizado será o da dispensa em razão do valor, uma vez que o inciso II do artigo supramencionado estabelece que para contratação que envolva valores inferiores a R$ 57.208,33 (cinquenta e sete mil, duzentos e oito reais e trinta e três centavos), no caso de outros serviços e compras, é dispensável a licitação. Ressalta-se, também, que a contratação em comento deverá ser feita conforme os requisitos definidos no item 4 deste ETP.</w:t>
      </w:r>
    </w:p>
    <w:p>
      <w:pPr>
        <w:pStyle w:val="Normal"/>
        <w:spacing w:lineRule="auto" w:line="240" w:before="0" w:after="0"/>
        <w:jc w:val="both"/>
        <w:rPr>
          <w:rFonts w:cs="LiberationSerif-Bold"/>
          <w:b/>
          <w:b/>
          <w:bCs/>
          <w:color w:val="000000"/>
          <w:sz w:val="24"/>
          <w:szCs w:val="24"/>
        </w:rPr>
      </w:pPr>
      <w:r>
        <w:rPr>
          <w:rFonts w:cs="LiberationSerif-Bold"/>
          <w:b/>
          <w:bCs/>
          <w:color w:val="000000"/>
          <w:sz w:val="24"/>
          <w:szCs w:val="24"/>
        </w:rPr>
        <w:t>7. Estimativa das Quantidades a serem contratadas</w:t>
      </w:r>
    </w:p>
    <w:p>
      <w:pPr>
        <w:pStyle w:val="Normal"/>
        <w:spacing w:lineRule="auto" w:line="276" w:before="240" w:after="160"/>
        <w:jc w:val="both"/>
        <w:rPr>
          <w:rFonts w:cs="Calibri" w:cstheme="minorHAnsi"/>
          <w:color w:val="000000" w:themeColor="text1"/>
        </w:rPr>
      </w:pPr>
      <w:r>
        <w:rPr>
          <w:rFonts w:cs="Calibri" w:cstheme="minorHAnsi"/>
          <w:color w:val="000000" w:themeColor="text1"/>
          <w:sz w:val="24"/>
          <w:szCs w:val="24"/>
        </w:rPr>
        <w:t>O quantitativo solicitado baseia-se na necessidade orgânica do Instituto, conforme Documento de Formalização da Demanda (DFD).</w:t>
      </w:r>
    </w:p>
    <w:p>
      <w:pPr>
        <w:pStyle w:val="Normal"/>
        <w:spacing w:lineRule="auto" w:line="240" w:before="0" w:after="0"/>
        <w:jc w:val="both"/>
        <w:rPr>
          <w:rFonts w:cs="LiberationSerif-Bold"/>
          <w:b/>
          <w:b/>
          <w:bCs/>
          <w:color w:val="000000"/>
          <w:sz w:val="24"/>
          <w:szCs w:val="24"/>
        </w:rPr>
      </w:pPr>
      <w:r>
        <w:rPr>
          <w:rFonts w:cs="LiberationSerif-Bold"/>
          <w:b/>
          <w:bCs/>
          <w:color w:val="000000"/>
          <w:sz w:val="24"/>
          <w:szCs w:val="24"/>
        </w:rPr>
        <w:t>8. Estimativa do Valor da Contratação</w:t>
      </w:r>
    </w:p>
    <w:p>
      <w:pPr>
        <w:pStyle w:val="Standard"/>
        <w:widowControl w:val="false"/>
        <w:spacing w:lineRule="auto" w:line="276" w:before="240" w:after="160"/>
        <w:jc w:val="both"/>
        <w:rPr>
          <w:sz w:val="24"/>
          <w:szCs w:val="24"/>
        </w:rPr>
      </w:pPr>
      <w:r>
        <w:rPr>
          <w:rFonts w:eastAsia="Times New Roman" w:cs="Calibri" w:ascii="Calibri" w:hAnsi="Calibri"/>
          <w:b/>
          <w:bCs/>
          <w:sz w:val="24"/>
          <w:szCs w:val="24"/>
        </w:rPr>
        <w:t>8.1</w:t>
      </w:r>
      <w:r>
        <w:rPr>
          <w:rFonts w:eastAsia="Times New Roman" w:cs="Calibri" w:ascii="Calibri" w:hAnsi="Calibri"/>
          <w:sz w:val="24"/>
          <w:szCs w:val="24"/>
        </w:rPr>
        <w:t xml:space="preserve"> A pesquisa de preços foi realizada em conformidade com o preconizado na Instrução Normativa n° 73, de 05 de agosto de 2020 – SEGES/ME, através de pesquisa direta com fornecedor, mediante solicitação formal de cotação, por meio de e-mail e painel de preços.</w:t>
      </w:r>
    </w:p>
    <w:p>
      <w:pPr>
        <w:pStyle w:val="Standard"/>
        <w:widowControl w:val="false"/>
        <w:spacing w:lineRule="auto" w:line="276" w:before="240" w:after="160"/>
        <w:jc w:val="both"/>
        <w:rPr>
          <w:sz w:val="24"/>
          <w:szCs w:val="24"/>
        </w:rPr>
      </w:pPr>
      <w:r>
        <w:rPr>
          <w:rFonts w:eastAsia="Times New Roman" w:cs="Calibri" w:ascii="Calibri" w:hAnsi="Calibri"/>
          <w:b/>
          <w:bCs/>
          <w:sz w:val="24"/>
          <w:szCs w:val="24"/>
        </w:rPr>
        <w:t>8.2</w:t>
      </w:r>
      <w:r>
        <w:rPr>
          <w:rFonts w:eastAsia="Times New Roman" w:cs="Calibri" w:ascii="Calibri" w:hAnsi="Calibri"/>
          <w:sz w:val="24"/>
          <w:szCs w:val="24"/>
        </w:rPr>
        <w:t xml:space="preserve"> O relatório de Pesquisa de Preços, o Mapa Comparativo e todos os orçamentos obtidos encontram-se anexos nos autos deste processo de licitação.</w:t>
      </w:r>
    </w:p>
    <w:p>
      <w:pPr>
        <w:pStyle w:val="Normal"/>
        <w:spacing w:lineRule="auto" w:line="276" w:before="240" w:after="160"/>
        <w:jc w:val="both"/>
        <w:rPr>
          <w:b w:val="false"/>
          <w:b w:val="false"/>
          <w:bCs w:val="false"/>
          <w:color w:val="000000"/>
        </w:rPr>
      </w:pPr>
      <w:r>
        <w:rPr>
          <w:rFonts w:cs="Calibri"/>
          <w:b/>
          <w:bCs/>
          <w:color w:val="000000"/>
          <w:sz w:val="24"/>
          <w:szCs w:val="24"/>
        </w:rPr>
        <w:t>8.3</w:t>
      </w:r>
      <w:r>
        <w:rPr>
          <w:rFonts w:cs="Calibri"/>
          <w:b w:val="false"/>
          <w:bCs w:val="false"/>
          <w:color w:val="000000"/>
          <w:sz w:val="24"/>
          <w:szCs w:val="24"/>
        </w:rPr>
        <w:t xml:space="preserve"> O valor total estimado com base nos documentos descritos no item 8.2 é de R$ </w:t>
      </w:r>
      <w:r>
        <w:rPr>
          <w:rFonts w:eastAsia="Calibri" w:cs="Calibri"/>
          <w:b w:val="false"/>
          <w:bCs w:val="false"/>
          <w:color w:val="000000"/>
          <w:kern w:val="0"/>
          <w:sz w:val="24"/>
          <w:szCs w:val="24"/>
          <w:lang w:val="pt-BR" w:eastAsia="en-US" w:bidi="ar-SA"/>
        </w:rPr>
        <w:t>4</w:t>
      </w:r>
      <w:r>
        <w:rPr>
          <w:rFonts w:cs="Calibri"/>
          <w:b w:val="false"/>
          <w:bCs w:val="false"/>
          <w:color w:val="000000"/>
          <w:sz w:val="24"/>
          <w:szCs w:val="24"/>
        </w:rPr>
        <w:t>.</w:t>
      </w:r>
      <w:r>
        <w:rPr>
          <w:rFonts w:cs="Calibri"/>
          <w:b w:val="false"/>
          <w:bCs w:val="false"/>
          <w:color w:val="000000"/>
          <w:sz w:val="24"/>
          <w:szCs w:val="24"/>
        </w:rPr>
        <w:t>9</w:t>
      </w:r>
      <w:r>
        <w:rPr>
          <w:rFonts w:eastAsia="Calibri" w:cs="Calibri"/>
          <w:b w:val="false"/>
          <w:bCs w:val="false"/>
          <w:color w:val="000000"/>
          <w:kern w:val="0"/>
          <w:sz w:val="24"/>
          <w:szCs w:val="24"/>
          <w:lang w:val="pt-BR" w:eastAsia="en-US" w:bidi="ar-SA"/>
        </w:rPr>
        <w:t>9</w:t>
      </w:r>
      <w:r>
        <w:rPr>
          <w:rFonts w:eastAsia="Calibri" w:cs="Calibri"/>
          <w:b w:val="false"/>
          <w:bCs w:val="false"/>
          <w:color w:val="000000"/>
          <w:kern w:val="0"/>
          <w:sz w:val="24"/>
          <w:szCs w:val="24"/>
          <w:lang w:val="pt-BR" w:eastAsia="en-US" w:bidi="ar-SA"/>
        </w:rPr>
        <w:t>0</w:t>
      </w:r>
      <w:r>
        <w:rPr>
          <w:rFonts w:cs="Calibri"/>
          <w:b w:val="false"/>
          <w:bCs w:val="false"/>
          <w:color w:val="000000"/>
          <w:sz w:val="24"/>
          <w:szCs w:val="24"/>
        </w:rPr>
        <w:t xml:space="preserve">,00 </w:t>
      </w:r>
      <w:r>
        <w:rPr>
          <w:rFonts w:cs="Calibri" w:ascii="Calibri" w:hAnsi="Calibri"/>
          <w:b w:val="false"/>
          <w:bCs w:val="false"/>
          <w:color w:val="000000"/>
          <w:sz w:val="24"/>
          <w:szCs w:val="24"/>
        </w:rPr>
        <w:t>(</w:t>
      </w:r>
      <w:r>
        <w:rPr>
          <w:rFonts w:eastAsia="Calibri" w:cs="Calibri" w:ascii="Calibri" w:hAnsi="Calibri"/>
          <w:b w:val="false"/>
          <w:bCs w:val="false"/>
          <w:color w:val="000000"/>
          <w:kern w:val="0"/>
          <w:sz w:val="24"/>
          <w:szCs w:val="24"/>
          <w:lang w:val="pt-BR" w:eastAsia="en-US" w:bidi="ar-SA"/>
        </w:rPr>
        <w:t>quatro</w:t>
      </w:r>
      <w:r>
        <w:rPr>
          <w:rFonts w:cs="Calibri" w:ascii="Calibri" w:hAnsi="Calibri"/>
          <w:b w:val="false"/>
          <w:bCs w:val="false"/>
          <w:color w:val="000000"/>
          <w:sz w:val="24"/>
          <w:szCs w:val="24"/>
        </w:rPr>
        <w:t xml:space="preserve"> mil e </w:t>
      </w:r>
      <w:r>
        <w:rPr>
          <w:rFonts w:eastAsia="Calibri" w:cs="Calibri" w:ascii="Calibri" w:hAnsi="Calibri"/>
          <w:b w:val="false"/>
          <w:bCs w:val="false"/>
          <w:color w:val="000000"/>
          <w:kern w:val="0"/>
          <w:sz w:val="24"/>
          <w:szCs w:val="24"/>
          <w:lang w:val="pt-BR" w:eastAsia="en-US" w:bidi="ar-SA"/>
        </w:rPr>
        <w:t>novecentos</w:t>
      </w:r>
      <w:r>
        <w:rPr>
          <w:rFonts w:cs="Calibri" w:ascii="Calibri" w:hAnsi="Calibri"/>
          <w:b w:val="false"/>
          <w:bCs w:val="false"/>
          <w:color w:val="000000"/>
          <w:sz w:val="24"/>
          <w:szCs w:val="24"/>
        </w:rPr>
        <w:t xml:space="preserve"> e </w:t>
      </w:r>
      <w:r>
        <w:rPr>
          <w:rFonts w:eastAsia="Calibri" w:cs="Calibri" w:ascii="Calibri" w:hAnsi="Calibri"/>
          <w:b w:val="false"/>
          <w:bCs w:val="false"/>
          <w:color w:val="000000"/>
          <w:kern w:val="0"/>
          <w:sz w:val="24"/>
          <w:szCs w:val="24"/>
          <w:lang w:val="pt-BR" w:eastAsia="en-US" w:bidi="ar-SA"/>
        </w:rPr>
        <w:t>noventa</w:t>
      </w:r>
      <w:r>
        <w:rPr>
          <w:rFonts w:cs="Calibri" w:ascii="Calibri" w:hAnsi="Calibri"/>
          <w:b w:val="false"/>
          <w:bCs w:val="false"/>
          <w:color w:val="000000"/>
          <w:sz w:val="24"/>
          <w:szCs w:val="24"/>
        </w:rPr>
        <w:t xml:space="preserve">  reais)</w:t>
      </w:r>
      <w:r>
        <w:rPr>
          <w:rFonts w:cs="Calibri"/>
          <w:b w:val="false"/>
          <w:bCs w:val="false"/>
          <w:color w:val="000000"/>
          <w:sz w:val="24"/>
          <w:szCs w:val="24"/>
        </w:rPr>
        <w:t>.</w:t>
      </w:r>
    </w:p>
    <w:p>
      <w:pPr>
        <w:pStyle w:val="Normal"/>
        <w:spacing w:lineRule="auto" w:line="240" w:before="0" w:after="0"/>
        <w:jc w:val="both"/>
        <w:rPr>
          <w:rFonts w:cs="LiberationSerif-Bold"/>
          <w:b/>
          <w:b/>
          <w:bCs/>
          <w:color w:val="000000"/>
          <w:sz w:val="24"/>
          <w:szCs w:val="24"/>
        </w:rPr>
      </w:pPr>
      <w:r>
        <w:rPr>
          <w:rFonts w:cs="LiberationSerif-Bold"/>
          <w:b/>
          <w:bCs/>
          <w:color w:val="000000"/>
          <w:sz w:val="24"/>
          <w:szCs w:val="24"/>
        </w:rPr>
        <w:t>9. Justificativa para o Parcelamento ou não da Solução</w:t>
      </w:r>
    </w:p>
    <w:p>
      <w:pPr>
        <w:pStyle w:val="Normal"/>
        <w:spacing w:lineRule="auto" w:line="276" w:before="240" w:after="160"/>
        <w:jc w:val="both"/>
        <w:rPr>
          <w:rFonts w:cs="Calibri" w:cstheme="minorHAnsi"/>
          <w:b/>
          <w:b/>
          <w:bCs/>
          <w:color w:val="000000" w:themeColor="text1"/>
        </w:rPr>
      </w:pPr>
      <w:r>
        <w:rPr>
          <w:rFonts w:cs="Calibri" w:cstheme="minorHAnsi"/>
          <w:color w:themeColor="text1"/>
        </w:rPr>
        <w:t>Não haverá parcelamento da contratação por se tratar de um item único, indivisível, sob pena de prejudicar toda a contratação.</w:t>
      </w:r>
    </w:p>
    <w:p>
      <w:pPr>
        <w:pStyle w:val="Normal"/>
        <w:spacing w:lineRule="auto" w:line="240" w:before="0" w:after="0"/>
        <w:jc w:val="both"/>
        <w:rPr>
          <w:rFonts w:cs="LiberationSerif-Bold"/>
          <w:b/>
          <w:b/>
          <w:bCs/>
          <w:color w:val="000000"/>
          <w:sz w:val="24"/>
          <w:szCs w:val="24"/>
        </w:rPr>
      </w:pPr>
      <w:r>
        <w:rPr>
          <w:rFonts w:cs="LiberationSerif-Bold"/>
          <w:b/>
          <w:bCs/>
          <w:color w:val="000000"/>
          <w:sz w:val="24"/>
          <w:szCs w:val="24"/>
        </w:rPr>
        <w:t>10. Contratações Correlatas e/ou Interdependentes</w:t>
      </w:r>
    </w:p>
    <w:p>
      <w:pPr>
        <w:pStyle w:val="Normal"/>
        <w:spacing w:lineRule="auto" w:line="240" w:before="0" w:after="0"/>
        <w:jc w:val="both"/>
        <w:rPr>
          <w:rFonts w:ascii="Times New Roman" w:hAnsi="Times New Roman"/>
          <w:color w:val="FF0000"/>
          <w:sz w:val="18"/>
          <w:szCs w:val="18"/>
        </w:rPr>
      </w:pPr>
      <w:r>
        <w:rPr>
          <w:rFonts w:ascii="Times New Roman" w:hAnsi="Times New Roman"/>
          <w:color w:val="FF0000"/>
          <w:sz w:val="18"/>
          <w:szCs w:val="18"/>
        </w:rPr>
      </w:r>
    </w:p>
    <w:p>
      <w:pPr>
        <w:pStyle w:val="Normal"/>
        <w:spacing w:lineRule="auto" w:line="240" w:before="0" w:after="0"/>
        <w:jc w:val="both"/>
        <w:rPr>
          <w:b w:val="false"/>
          <w:b w:val="false"/>
          <w:bCs w:val="false"/>
        </w:rPr>
      </w:pPr>
      <w:r>
        <w:rPr>
          <w:rFonts w:cs="LiberationSerif-Bold"/>
          <w:b w:val="false"/>
          <w:bCs w:val="false"/>
          <w:color w:val="000000"/>
          <w:sz w:val="24"/>
          <w:szCs w:val="24"/>
        </w:rPr>
        <w:t>Não há.</w:t>
      </w:r>
    </w:p>
    <w:p>
      <w:pPr>
        <w:pStyle w:val="Normal"/>
        <w:spacing w:lineRule="auto" w:line="240" w:before="0" w:after="0"/>
        <w:jc w:val="both"/>
        <w:rPr>
          <w:rFonts w:cs="LiberationSerif-Bold"/>
          <w:b/>
          <w:b/>
          <w:bCs/>
          <w:color w:val="000000"/>
          <w:sz w:val="24"/>
          <w:szCs w:val="24"/>
        </w:rPr>
      </w:pPr>
      <w:r>
        <w:rPr>
          <w:rFonts w:cs="LiberationSerif-Bold"/>
          <w:b/>
          <w:bCs/>
          <w:color w:val="000000"/>
          <w:sz w:val="24"/>
          <w:szCs w:val="24"/>
        </w:rPr>
      </w:r>
    </w:p>
    <w:p>
      <w:pPr>
        <w:pStyle w:val="Normal"/>
        <w:spacing w:lineRule="auto" w:line="240" w:before="0" w:after="0"/>
        <w:jc w:val="both"/>
        <w:rPr>
          <w:b/>
          <w:b/>
          <w:bCs/>
          <w:sz w:val="24"/>
          <w:szCs w:val="24"/>
        </w:rPr>
      </w:pPr>
      <w:r>
        <w:rPr>
          <w:rFonts w:cs="LiberationSerif-Bold"/>
          <w:b/>
          <w:bCs/>
          <w:color w:val="000000"/>
          <w:sz w:val="24"/>
          <w:szCs w:val="24"/>
        </w:rPr>
        <w:t>11. D</w:t>
      </w:r>
      <w:r>
        <w:rPr>
          <w:b/>
          <w:bCs/>
          <w:sz w:val="24"/>
          <w:szCs w:val="24"/>
        </w:rPr>
        <w:t>emonstrativo da previsão da contratação no Plano de Contratações Anual</w:t>
      </w:r>
    </w:p>
    <w:p>
      <w:pPr>
        <w:pStyle w:val="Normal"/>
        <w:spacing w:lineRule="auto" w:line="276" w:before="240" w:after="160"/>
        <w:jc w:val="both"/>
        <w:rPr>
          <w:color w:val="000000"/>
          <w:sz w:val="24"/>
          <w:szCs w:val="24"/>
        </w:rPr>
      </w:pPr>
      <w:r>
        <w:rPr>
          <w:rFonts w:cs="Calibri"/>
          <w:color w:val="000000"/>
          <w:sz w:val="24"/>
          <w:szCs w:val="24"/>
        </w:rPr>
        <w:t>A aquisição em tela está prevista no Plano de Descentralização de Recursos de Ciência e Tecnologia 2023, atendendo ao Objetivo Estratégico do Exército de Aperfeiçoar o Sistema de Ciência, Tecnologia e Inovação. A Ação Orçamentária é a 20XJ (Desenvolvimento Tecnológico do Exército) e atende ao Plano Estratégico de Ciência e Tecnologia no sentido de implantar e manter a infraestrutura de Pesquisa e Desenvolvimento nas áreas de Defesa QBRN, Modelagem de Protótipos e Metrologia, Química Militar e Balística. O Plano Interno a ser empregado é K5PDLPQQUIM.</w:t>
      </w:r>
    </w:p>
    <w:p>
      <w:pPr>
        <w:pStyle w:val="Normal"/>
        <w:spacing w:lineRule="auto" w:line="240" w:before="0" w:after="0"/>
        <w:jc w:val="both"/>
        <w:rPr>
          <w:b/>
          <w:b/>
          <w:bCs/>
          <w:sz w:val="24"/>
          <w:szCs w:val="24"/>
        </w:rPr>
      </w:pPr>
      <w:r>
        <w:rPr>
          <w:rFonts w:cs="LiberationSerif-Bold"/>
          <w:b/>
          <w:bCs/>
          <w:color w:val="000000"/>
          <w:sz w:val="24"/>
          <w:szCs w:val="24"/>
        </w:rPr>
        <w:t xml:space="preserve">12. </w:t>
      </w:r>
      <w:r>
        <w:rPr>
          <w:b/>
          <w:bCs/>
          <w:sz w:val="24"/>
          <w:szCs w:val="24"/>
        </w:rPr>
        <w:t>Demonstrativo dos resultados pretendidos</w:t>
      </w:r>
    </w:p>
    <w:p>
      <w:pPr>
        <w:pStyle w:val="Normal"/>
        <w:spacing w:lineRule="auto" w:line="276" w:before="240" w:after="160"/>
        <w:jc w:val="both"/>
        <w:rPr>
          <w:b w:val="false"/>
          <w:b w:val="false"/>
          <w:bCs w:val="false"/>
        </w:rPr>
      </w:pPr>
      <w:r>
        <w:rPr>
          <w:rFonts w:eastAsia="Times New Roman" w:cs="Calibri"/>
          <w:b w:val="false"/>
          <w:bCs w:val="false"/>
          <w:color w:val="000000"/>
          <w:sz w:val="24"/>
          <w:szCs w:val="24"/>
          <w:lang w:val="pt-PT" w:eastAsia="pt-BR"/>
        </w:rPr>
        <w:t>A referida aquisição visa manter a continuidade das atividades-meio e finalísticas deste Instituto.</w:t>
      </w:r>
    </w:p>
    <w:p>
      <w:pPr>
        <w:pStyle w:val="Normal"/>
        <w:spacing w:lineRule="auto" w:line="240" w:before="0" w:after="0"/>
        <w:jc w:val="both"/>
        <w:rPr>
          <w:rFonts w:cs="LiberationSerif-Bold"/>
          <w:b/>
          <w:b/>
          <w:bCs/>
          <w:color w:val="000000"/>
          <w:sz w:val="24"/>
          <w:szCs w:val="24"/>
        </w:rPr>
      </w:pPr>
      <w:r>
        <w:rPr>
          <w:rFonts w:cs="LiberationSerif-Bold"/>
          <w:b/>
          <w:bCs/>
          <w:color w:val="000000"/>
          <w:sz w:val="24"/>
          <w:szCs w:val="24"/>
        </w:rPr>
      </w:r>
    </w:p>
    <w:p>
      <w:pPr>
        <w:pStyle w:val="Normal"/>
        <w:spacing w:lineRule="auto" w:line="240" w:before="0" w:after="0"/>
        <w:jc w:val="both"/>
        <w:rPr>
          <w:sz w:val="24"/>
          <w:szCs w:val="24"/>
        </w:rPr>
      </w:pPr>
      <w:r>
        <w:rPr>
          <w:rFonts w:cs="LiberationSerif-Bold"/>
          <w:b/>
          <w:bCs/>
          <w:color w:val="000000"/>
          <w:sz w:val="24"/>
          <w:szCs w:val="24"/>
        </w:rPr>
        <w:t>13. P</w:t>
      </w:r>
      <w:r>
        <w:rPr>
          <w:b/>
          <w:bCs/>
          <w:sz w:val="24"/>
          <w:szCs w:val="24"/>
        </w:rPr>
        <w:t>rovidências a serem adotadas pela Administração previamente à celebração do contrato</w:t>
      </w:r>
    </w:p>
    <w:p>
      <w:pPr>
        <w:pStyle w:val="Normal"/>
        <w:spacing w:lineRule="auto" w:line="276" w:before="240" w:after="160"/>
        <w:jc w:val="both"/>
        <w:rPr>
          <w:b w:val="false"/>
          <w:b w:val="false"/>
          <w:bCs w:val="false"/>
        </w:rPr>
      </w:pPr>
      <w:r>
        <w:rPr>
          <w:rFonts w:cs="Calibri"/>
          <w:b w:val="false"/>
          <w:bCs w:val="false"/>
          <w:color w:val="000000"/>
          <w:sz w:val="24"/>
          <w:szCs w:val="24"/>
          <w:shd w:fill="FFFFFF" w:val="clear"/>
          <w:lang w:eastAsia="pt-BR"/>
        </w:rPr>
        <w:t>Não se vislumbra necessidade de tomada de providências de adequações nas instalações do IDQBRN, com vistas a aquisição do material solicitado.</w:t>
      </w:r>
    </w:p>
    <w:p>
      <w:pPr>
        <w:pStyle w:val="Normal"/>
        <w:spacing w:lineRule="auto" w:line="240" w:before="0" w:after="0"/>
        <w:jc w:val="both"/>
        <w:rPr>
          <w:rFonts w:cs="LiberationSerif-Bold"/>
          <w:b/>
          <w:b/>
          <w:bCs/>
          <w:color w:val="000000"/>
          <w:sz w:val="24"/>
          <w:szCs w:val="24"/>
        </w:rPr>
      </w:pPr>
      <w:r>
        <w:rPr>
          <w:rFonts w:cs="LiberationSerif-Bold"/>
          <w:b/>
          <w:bCs/>
          <w:color w:val="000000"/>
          <w:sz w:val="24"/>
          <w:szCs w:val="24"/>
        </w:rPr>
      </w:r>
    </w:p>
    <w:p>
      <w:pPr>
        <w:pStyle w:val="Normal"/>
        <w:spacing w:lineRule="auto" w:line="240" w:before="0" w:after="0"/>
        <w:jc w:val="both"/>
        <w:rPr>
          <w:sz w:val="24"/>
          <w:szCs w:val="24"/>
        </w:rPr>
      </w:pPr>
      <w:r>
        <w:rPr>
          <w:rFonts w:cs="LiberationSerif-Bold"/>
          <w:b/>
          <w:bCs/>
          <w:color w:val="000000"/>
          <w:sz w:val="24"/>
          <w:szCs w:val="24"/>
        </w:rPr>
        <w:t xml:space="preserve">14. Possíveis Impactos Ambientais </w:t>
      </w:r>
      <w:r>
        <w:rPr>
          <w:b/>
          <w:bCs/>
          <w:sz w:val="24"/>
          <w:szCs w:val="24"/>
        </w:rPr>
        <w:t>e respectivas medidas mitigadoras</w:t>
      </w:r>
    </w:p>
    <w:p>
      <w:pPr>
        <w:pStyle w:val="Standard"/>
        <w:widowControl w:val="false"/>
        <w:spacing w:lineRule="auto" w:line="276" w:before="240" w:after="160"/>
        <w:jc w:val="both"/>
        <w:rPr/>
      </w:pPr>
      <w:r>
        <w:rPr>
          <w:rFonts w:cs="Calibri" w:ascii="Calibri" w:hAnsi="Calibri"/>
          <w:color w:val="000000"/>
          <w:sz w:val="22"/>
          <w:szCs w:val="22"/>
        </w:rPr>
        <w:t xml:space="preserve">Quanto à empresa contratada: De acordo com a Instrução Normativa SLTI/MPOG n.º 01, de 19 de janeiro de 2010, que </w:t>
      </w:r>
      <w:r>
        <w:rPr>
          <w:rFonts w:cs="Calibri" w:ascii="Calibri" w:hAnsi="Calibri"/>
          <w:sz w:val="22"/>
          <w:szCs w:val="22"/>
        </w:rPr>
        <w:t>dispõe sobre os critérios de sustentabilidade ambiental na aquisição de bens, contratação de serviços ou obras pela Administração Pública Federal direta, autárquica e fundacional, a empresa deverá atender aos critérios de qualidade ambiental e sustentabilidade socioambiental, respeitando as normas de proteção do meio ambiente, tais como:</w:t>
      </w:r>
    </w:p>
    <w:p>
      <w:pPr>
        <w:pStyle w:val="Standard"/>
        <w:widowControl w:val="false"/>
        <w:spacing w:lineRule="auto" w:line="276" w:before="240" w:after="160"/>
        <w:jc w:val="both"/>
        <w:rPr>
          <w:rFonts w:ascii="Calibri" w:hAnsi="Calibri" w:cs="Calibri"/>
          <w:sz w:val="22"/>
          <w:szCs w:val="22"/>
        </w:rPr>
      </w:pPr>
      <w:r>
        <w:rPr>
          <w:rFonts w:cs="Calibri" w:ascii="Calibri" w:hAnsi="Calibri"/>
          <w:sz w:val="22"/>
          <w:szCs w:val="22"/>
        </w:rPr>
        <w:t>I – Que os bens sejam constituídos, no todo ou em parte, por material reciclado, atóxico, biodegradável, conforme ABNT NBR – 15448-1 e 15448-2;</w:t>
      </w:r>
    </w:p>
    <w:p>
      <w:pPr>
        <w:pStyle w:val="Standard"/>
        <w:widowControl w:val="false"/>
        <w:spacing w:lineRule="auto" w:line="276" w:before="240" w:after="160"/>
        <w:jc w:val="both"/>
        <w:rPr>
          <w:rFonts w:ascii="Calibri" w:hAnsi="Calibri" w:cs="Calibri"/>
          <w:sz w:val="22"/>
          <w:szCs w:val="22"/>
        </w:rPr>
      </w:pPr>
      <w:r>
        <w:rPr>
          <w:rFonts w:cs="Calibri" w:ascii="Calibri" w:hAnsi="Calibri"/>
          <w:sz w:val="22"/>
          <w:szCs w:val="22"/>
        </w:rPr>
        <w:t>II – Que sejam observados os requisitos ambientais para a obtenção de certificação do Instituto Nacional de Metrologia, Normalização e Qualidade Industrial – INMETRO como produtos sustentáveis ou de menor impacto ambiental em relação aos seus similares;</w:t>
      </w:r>
    </w:p>
    <w:p>
      <w:pPr>
        <w:pStyle w:val="Standard"/>
        <w:widowControl w:val="false"/>
        <w:spacing w:lineRule="auto" w:line="276" w:before="240" w:after="160"/>
        <w:jc w:val="both"/>
        <w:rPr>
          <w:rFonts w:ascii="Calibri" w:hAnsi="Calibri" w:cs="Calibri"/>
          <w:sz w:val="22"/>
          <w:szCs w:val="22"/>
        </w:rPr>
      </w:pPr>
      <w:r>
        <w:rPr>
          <w:rFonts w:cs="Calibri" w:ascii="Calibri" w:hAnsi="Calibri"/>
          <w:sz w:val="22"/>
          <w:szCs w:val="22"/>
        </w:rPr>
        <w:t>III – Que os bens devam ser, preferencialmente, acondicionados em embalagem individual adequada, com o menor volume possível, que utilize materiais recicláveis, de forma a garantir a máxima proteção durante o transporte e o armazenamento; e</w:t>
      </w:r>
    </w:p>
    <w:p>
      <w:pPr>
        <w:pStyle w:val="Standard"/>
        <w:widowControl w:val="false"/>
        <w:spacing w:lineRule="auto" w:line="276" w:before="240" w:after="160"/>
        <w:jc w:val="both"/>
        <w:rPr>
          <w:rFonts w:ascii="Calibri" w:hAnsi="Calibri" w:cs="Calibri"/>
          <w:sz w:val="22"/>
          <w:szCs w:val="22"/>
        </w:rPr>
      </w:pPr>
      <w:r>
        <w:rPr>
          <w:rFonts w:cs="Calibri" w:ascii="Calibri" w:hAnsi="Calibri"/>
          <w:sz w:val="22"/>
          <w:szCs w:val="22"/>
        </w:rPr>
        <w:t>IV – Que os bens não contenham substâncias perigosas em concentração acima da recomendada na diretiva RoHS (Restriction of Certain Hazardous Substances), tais como mercúrio (Hg), chumbo (Pb), cromo hexavalente (Cr (VI)), cádmio (Cd) bifenil-polibromados (PBBs), éteres difenilpolibromados (PBDEs).</w:t>
      </w:r>
    </w:p>
    <w:p>
      <w:pPr>
        <w:pStyle w:val="Normal"/>
        <w:spacing w:lineRule="auto" w:line="276" w:before="240" w:after="160"/>
        <w:jc w:val="both"/>
        <w:rPr>
          <w:rFonts w:ascii="Calibri" w:hAnsi="Calibri" w:cs="Calibri"/>
          <w:color w:val="000000"/>
        </w:rPr>
      </w:pPr>
      <w:r>
        <w:rPr>
          <w:rFonts w:cs="Calibri"/>
        </w:rPr>
        <w:t xml:space="preserve">A empresa deverá reconhecer seu compromisso socioambiental, mantendo-se disponível </w:t>
      </w:r>
      <w:r>
        <w:rPr>
          <w:rFonts w:cs="Calibri"/>
          <w:color w:val="000000" w:themeColor="text1"/>
        </w:rPr>
        <w:t>à fiscalização pelos órgãos responsáveis.</w:t>
      </w:r>
    </w:p>
    <w:p>
      <w:pPr>
        <w:pStyle w:val="Normal"/>
        <w:spacing w:lineRule="auto" w:line="240" w:before="0" w:after="0"/>
        <w:jc w:val="both"/>
        <w:rPr>
          <w:rFonts w:ascii="Calibri" w:hAnsi="Calibri" w:cs="LiberationSerif-Bold"/>
          <w:b/>
          <w:b/>
          <w:bCs/>
          <w:color w:val="FF0000"/>
          <w:sz w:val="24"/>
          <w:szCs w:val="24"/>
        </w:rPr>
      </w:pPr>
      <w:r>
        <w:rPr>
          <w:rFonts w:cs="LiberationSerif-Bold"/>
          <w:b/>
          <w:bCs/>
          <w:color w:val="FF0000"/>
          <w:sz w:val="24"/>
          <w:szCs w:val="24"/>
        </w:rPr>
      </w:r>
    </w:p>
    <w:p>
      <w:pPr>
        <w:pStyle w:val="Normal"/>
        <w:spacing w:lineRule="auto" w:line="240" w:before="0" w:after="0"/>
        <w:jc w:val="both"/>
        <w:rPr>
          <w:rFonts w:cs="LiberationSerif-Bold"/>
          <w:b/>
          <w:b/>
          <w:bCs/>
          <w:color w:val="000000"/>
          <w:sz w:val="24"/>
          <w:szCs w:val="24"/>
        </w:rPr>
      </w:pPr>
      <w:r>
        <w:rPr>
          <w:rFonts w:cs="LiberationSerif-Bold"/>
          <w:b/>
          <w:bCs/>
          <w:color w:val="000000"/>
          <w:sz w:val="24"/>
          <w:szCs w:val="24"/>
        </w:rPr>
        <w:t>15. Declaração de Viabilidade</w:t>
      </w:r>
    </w:p>
    <w:p>
      <w:pPr>
        <w:pStyle w:val="Normal"/>
        <w:spacing w:lineRule="auto" w:line="240" w:before="0" w:after="0"/>
        <w:jc w:val="both"/>
        <w:rPr>
          <w:rFonts w:cs="LiberationSerif-Bold"/>
          <w:b/>
          <w:b/>
          <w:bCs/>
          <w:color w:val="000000"/>
          <w:sz w:val="24"/>
          <w:szCs w:val="24"/>
        </w:rPr>
      </w:pPr>
      <w:r>
        <w:rPr>
          <w:rFonts w:cs="LiberationSerif-Bold"/>
          <w:b/>
          <w:bCs/>
          <w:color w:val="000000"/>
          <w:sz w:val="24"/>
          <w:szCs w:val="24"/>
        </w:rPr>
      </w:r>
    </w:p>
    <w:p>
      <w:pPr>
        <w:pStyle w:val="Normal"/>
        <w:spacing w:lineRule="auto" w:line="240" w:before="0" w:after="0"/>
        <w:ind w:left="851" w:hanging="0"/>
        <w:jc w:val="both"/>
        <w:rPr>
          <w:sz w:val="24"/>
          <w:szCs w:val="24"/>
        </w:rPr>
      </w:pPr>
      <w:r>
        <mc:AlternateContent>
          <mc:Choice Requires="wps">
            <w:drawing>
              <wp:anchor behindDoc="0" distT="635" distB="635" distL="635" distR="635" simplePos="0" locked="0" layoutInCell="0" allowOverlap="1" relativeHeight="3" wp14:anchorId="04ED1A92">
                <wp:simplePos x="0" y="0"/>
                <wp:positionH relativeFrom="margin">
                  <wp:align>left</wp:align>
                </wp:positionH>
                <wp:positionV relativeFrom="paragraph">
                  <wp:posOffset>6350</wp:posOffset>
                </wp:positionV>
                <wp:extent cx="379095" cy="353695"/>
                <wp:effectExtent l="6350" t="6350" r="6350" b="6350"/>
                <wp:wrapNone/>
                <wp:docPr id="2" name="Retângulo 2"/>
                <a:graphic xmlns:a="http://schemas.openxmlformats.org/drawingml/2006/main">
                  <a:graphicData uri="http://schemas.microsoft.com/office/word/2010/wordprocessingShape">
                    <wps:wsp>
                      <wps:cNvSpPr/>
                      <wps:spPr>
                        <a:xfrm>
                          <a:off x="0" y="0"/>
                          <a:ext cx="378360" cy="353160"/>
                        </a:xfrm>
                        <a:prstGeom prst="rect">
                          <a:avLst/>
                        </a:prstGeom>
                        <a:solidFill>
                          <a:srgbClr val="ffffff"/>
                        </a:solidFill>
                        <a:ln>
                          <a:solidFill>
                            <a:srgbClr val="000000"/>
                          </a:solidFill>
                        </a:ln>
                      </wps:spPr>
                      <wps:style>
                        <a:lnRef idx="2">
                          <a:schemeClr val="dk1"/>
                        </a:lnRef>
                        <a:fillRef idx="1">
                          <a:schemeClr val="lt1"/>
                        </a:fillRef>
                        <a:effectRef idx="0">
                          <a:schemeClr val="dk1"/>
                        </a:effectRef>
                        <a:fontRef idx="minor"/>
                      </wps:style>
                      <wps:txbx>
                        <w:txbxContent>
                          <w:p>
                            <w:pPr>
                              <w:pStyle w:val="Contedodoquadro"/>
                              <w:spacing w:before="0" w:after="160"/>
                              <w:jc w:val="center"/>
                              <w:rPr>
                                <w:sz w:val="36"/>
                                <w:szCs w:val="36"/>
                              </w:rPr>
                            </w:pPr>
                            <w:r>
                              <w:rPr>
                                <w:color w:val="000000"/>
                                <w:sz w:val="36"/>
                                <w:szCs w:val="36"/>
                              </w:rPr>
                              <w:t xml:space="preserve">X        </w:t>
                            </w:r>
                          </w:p>
                        </w:txbxContent>
                      </wps:txbx>
                      <wps:bodyPr anchor="ctr">
                        <a:prstTxWarp prst="textNoShape"/>
                        <a:noAutofit/>
                      </wps:bodyPr>
                    </wps:wsp>
                  </a:graphicData>
                </a:graphic>
              </wp:anchor>
            </w:drawing>
          </mc:Choice>
          <mc:Fallback>
            <w:pict>
              <v:rect id="shape_0" ID="Retângulo 2" path="m0,0l-2147483645,0l-2147483645,-2147483646l0,-2147483646xe" fillcolor="white" stroked="t" style="position:absolute;margin-left:0.05pt;margin-top:0.5pt;width:29.75pt;height:27.75pt;mso-wrap-style:square;v-text-anchor:middle;mso-position-horizontal:left;mso-position-horizontal-relative:margin" wp14:anchorId="04ED1A92">
                <v:fill o:detectmouseclick="t" type="solid" color2="black"/>
                <v:stroke color="black" weight="12600" joinstyle="miter" endcap="flat"/>
                <v:textbox>
                  <w:txbxContent>
                    <w:p>
                      <w:pPr>
                        <w:pStyle w:val="Contedodoquadro"/>
                        <w:spacing w:before="0" w:after="160"/>
                        <w:jc w:val="center"/>
                        <w:rPr>
                          <w:sz w:val="36"/>
                          <w:szCs w:val="36"/>
                        </w:rPr>
                      </w:pPr>
                      <w:r>
                        <w:rPr>
                          <w:color w:val="000000"/>
                          <w:sz w:val="36"/>
                          <w:szCs w:val="36"/>
                        </w:rPr>
                        <w:t xml:space="preserve">X        </w:t>
                      </w:r>
                    </w:p>
                  </w:txbxContent>
                </v:textbox>
                <w10:wrap type="none"/>
              </v:rect>
            </w:pict>
          </mc:Fallback>
        </mc:AlternateContent>
      </w:r>
      <w:r>
        <w:rPr>
          <w:sz w:val="24"/>
          <w:szCs w:val="24"/>
        </w:rPr>
        <w:t xml:space="preserve">Esta equipe de planejamento declara </w:t>
      </w:r>
      <w:r>
        <w:rPr>
          <w:b/>
          <w:bCs/>
          <w:sz w:val="24"/>
          <w:szCs w:val="24"/>
        </w:rPr>
        <w:t>viável</w:t>
      </w:r>
      <w:r>
        <w:rPr>
          <w:sz w:val="24"/>
          <w:szCs w:val="24"/>
        </w:rPr>
        <w:t xml:space="preserve"> esta contratação com base neste Estudo Técnico Preliminar.</w:t>
      </w:r>
    </w:p>
    <w:p>
      <w:pPr>
        <w:pStyle w:val="Normal"/>
        <w:spacing w:lineRule="auto" w:line="240" w:before="0" w:after="0"/>
        <w:jc w:val="both"/>
        <w:rPr>
          <w:sz w:val="24"/>
          <w:szCs w:val="24"/>
        </w:rPr>
      </w:pPr>
      <w:r>
        <w:rPr>
          <w:sz w:val="24"/>
          <w:szCs w:val="24"/>
        </w:rPr>
      </w:r>
    </w:p>
    <w:p>
      <w:pPr>
        <w:pStyle w:val="Normal"/>
        <w:spacing w:lineRule="auto" w:line="240" w:before="0" w:after="0"/>
        <w:ind w:left="851" w:hanging="0"/>
        <w:jc w:val="both"/>
        <w:rPr>
          <w:sz w:val="24"/>
          <w:szCs w:val="24"/>
        </w:rPr>
      </w:pPr>
      <w:r>
        <mc:AlternateContent>
          <mc:Choice Requires="wps">
            <w:drawing>
              <wp:anchor behindDoc="0" distT="635" distB="635" distL="0" distR="6350" simplePos="0" locked="0" layoutInCell="0" allowOverlap="1" relativeHeight="8" wp14:anchorId="7E52F4ED">
                <wp:simplePos x="0" y="0"/>
                <wp:positionH relativeFrom="column">
                  <wp:posOffset>9525</wp:posOffset>
                </wp:positionH>
                <wp:positionV relativeFrom="paragraph">
                  <wp:posOffset>52070</wp:posOffset>
                </wp:positionV>
                <wp:extent cx="370840" cy="335915"/>
                <wp:effectExtent l="6985" t="6350" r="5715" b="6350"/>
                <wp:wrapNone/>
                <wp:docPr id="4" name="Retângulo 3"/>
                <a:graphic xmlns:a="http://schemas.openxmlformats.org/drawingml/2006/main">
                  <a:graphicData uri="http://schemas.microsoft.com/office/word/2010/wordprocessingShape">
                    <wps:wsp>
                      <wps:cNvSpPr/>
                      <wps:spPr>
                        <a:xfrm>
                          <a:off x="0" y="0"/>
                          <a:ext cx="370080" cy="335160"/>
                        </a:xfrm>
                        <a:prstGeom prst="rect">
                          <a:avLst/>
                        </a:prstGeom>
                        <a:solidFill>
                          <a:srgbClr val="ffffff"/>
                        </a:solidFill>
                        <a:ln>
                          <a:solidFill>
                            <a:srgbClr val="000000"/>
                          </a:solidFill>
                        </a:ln>
                      </wps:spPr>
                      <wps:style>
                        <a:lnRef idx="2">
                          <a:schemeClr val="dk1"/>
                        </a:lnRef>
                        <a:fillRef idx="1">
                          <a:schemeClr val="lt1"/>
                        </a:fillRef>
                        <a:effectRef idx="0">
                          <a:schemeClr val="dk1"/>
                        </a:effectRef>
                        <a:fontRef idx="minor"/>
                      </wps:style>
                      <wps:bodyPr/>
                    </wps:wsp>
                  </a:graphicData>
                </a:graphic>
              </wp:anchor>
            </w:drawing>
          </mc:Choice>
          <mc:Fallback>
            <w:pict>
              <v:rect id="shape_0" ID="Retângulo 3" path="m0,0l-2147483645,0l-2147483645,-2147483646l0,-2147483646xe" fillcolor="white" stroked="t" style="position:absolute;margin-left:0.75pt;margin-top:4.1pt;width:29.1pt;height:26.35pt;mso-wrap-style:none;v-text-anchor:middle" wp14:anchorId="7E52F4ED">
                <v:fill o:detectmouseclick="t" type="solid" color2="black"/>
                <v:stroke color="black" weight="12600" joinstyle="miter" endcap="flat"/>
                <w10:wrap type="none"/>
              </v:rect>
            </w:pict>
          </mc:Fallback>
        </mc:AlternateContent>
      </w:r>
      <w:r>
        <w:rPr>
          <w:sz w:val="24"/>
          <w:szCs w:val="24"/>
        </w:rPr>
        <w:t xml:space="preserve"> </w:t>
      </w:r>
      <w:r>
        <w:rPr>
          <w:sz w:val="24"/>
          <w:szCs w:val="24"/>
        </w:rPr>
        <w:t xml:space="preserve">Esta equipe de planejamento declara </w:t>
      </w:r>
      <w:r>
        <w:rPr>
          <w:b/>
          <w:bCs/>
          <w:sz w:val="24"/>
          <w:szCs w:val="24"/>
        </w:rPr>
        <w:t>viável com restrições</w:t>
      </w:r>
      <w:r>
        <w:rPr>
          <w:sz w:val="24"/>
          <w:szCs w:val="24"/>
        </w:rPr>
        <w:t xml:space="preserve"> esta contratação com base neste Estudo Técnico Preliminar.</w:t>
      </w:r>
    </w:p>
    <w:p>
      <w:pPr>
        <w:pStyle w:val="Normal"/>
        <w:spacing w:lineRule="auto" w:line="240" w:before="0" w:after="0"/>
        <w:jc w:val="both"/>
        <w:rPr>
          <w:sz w:val="24"/>
          <w:szCs w:val="24"/>
        </w:rPr>
      </w:pPr>
      <w:r>
        <w:rPr>
          <w:sz w:val="24"/>
          <w:szCs w:val="24"/>
        </w:rPr>
      </w:r>
    </w:p>
    <w:p>
      <w:pPr>
        <w:pStyle w:val="Normal"/>
        <w:spacing w:lineRule="auto" w:line="240" w:before="0" w:after="0"/>
        <w:ind w:left="851" w:hanging="0"/>
        <w:jc w:val="both"/>
        <w:rPr>
          <w:sz w:val="24"/>
          <w:szCs w:val="24"/>
        </w:rPr>
      </w:pPr>
      <w:r>
        <mc:AlternateContent>
          <mc:Choice Requires="wps">
            <w:drawing>
              <wp:anchor behindDoc="0" distT="635" distB="635" distL="635" distR="635" simplePos="0" locked="0" layoutInCell="0" allowOverlap="1" relativeHeight="6" wp14:anchorId="28272AE3">
                <wp:simplePos x="0" y="0"/>
                <wp:positionH relativeFrom="column">
                  <wp:posOffset>9525</wp:posOffset>
                </wp:positionH>
                <wp:positionV relativeFrom="paragraph">
                  <wp:posOffset>59690</wp:posOffset>
                </wp:positionV>
                <wp:extent cx="370205" cy="371475"/>
                <wp:effectExtent l="6350" t="6350" r="6350" b="6350"/>
                <wp:wrapNone/>
                <wp:docPr id="5" name="Retângulo 4"/>
                <a:graphic xmlns:a="http://schemas.openxmlformats.org/drawingml/2006/main">
                  <a:graphicData uri="http://schemas.microsoft.com/office/word/2010/wordprocessingShape">
                    <wps:wsp>
                      <wps:cNvSpPr/>
                      <wps:spPr>
                        <a:xfrm>
                          <a:off x="0" y="0"/>
                          <a:ext cx="369720" cy="370800"/>
                        </a:xfrm>
                        <a:prstGeom prst="rect">
                          <a:avLst/>
                        </a:prstGeom>
                        <a:solidFill>
                          <a:srgbClr val="ffffff"/>
                        </a:solidFill>
                        <a:ln>
                          <a:solidFill>
                            <a:srgbClr val="000000"/>
                          </a:solidFill>
                        </a:ln>
                      </wps:spPr>
                      <wps:style>
                        <a:lnRef idx="2">
                          <a:schemeClr val="dk1"/>
                        </a:lnRef>
                        <a:fillRef idx="1">
                          <a:schemeClr val="lt1"/>
                        </a:fillRef>
                        <a:effectRef idx="0">
                          <a:schemeClr val="dk1"/>
                        </a:effectRef>
                        <a:fontRef idx="minor"/>
                      </wps:style>
                      <wps:bodyPr/>
                    </wps:wsp>
                  </a:graphicData>
                </a:graphic>
              </wp:anchor>
            </w:drawing>
          </mc:Choice>
          <mc:Fallback>
            <w:pict>
              <v:rect id="shape_0" ID="Retângulo 4" path="m0,0l-2147483645,0l-2147483645,-2147483646l0,-2147483646xe" fillcolor="white" stroked="t" style="position:absolute;margin-left:0.75pt;margin-top:4.7pt;width:29.05pt;height:29.15pt;mso-wrap-style:none;v-text-anchor:middle" wp14:anchorId="28272AE3">
                <v:fill o:detectmouseclick="t" type="solid" color2="black"/>
                <v:stroke color="black" weight="12600" joinstyle="miter" endcap="flat"/>
                <w10:wrap type="none"/>
              </v:rect>
            </w:pict>
          </mc:Fallback>
        </mc:AlternateContent>
      </w:r>
      <w:r>
        <w:rPr>
          <w:sz w:val="24"/>
          <w:szCs w:val="24"/>
        </w:rPr>
        <w:t xml:space="preserve">Esta equipe de planejamento declara </w:t>
      </w:r>
      <w:r>
        <w:rPr>
          <w:b/>
          <w:bCs/>
          <w:sz w:val="24"/>
          <w:szCs w:val="24"/>
        </w:rPr>
        <w:t>inviável</w:t>
      </w:r>
      <w:r>
        <w:rPr>
          <w:sz w:val="24"/>
          <w:szCs w:val="24"/>
        </w:rPr>
        <w:t xml:space="preserve"> esta contratação com base neste Estudo Técnico Preliminar.</w:t>
      </w:r>
    </w:p>
    <w:p>
      <w:pPr>
        <w:pStyle w:val="Normal"/>
        <w:spacing w:lineRule="auto" w:line="240" w:before="0" w:after="0"/>
        <w:ind w:left="851" w:hanging="0"/>
        <w:jc w:val="both"/>
        <w:rPr>
          <w:sz w:val="24"/>
          <w:szCs w:val="24"/>
        </w:rPr>
      </w:pPr>
      <w:r>
        <w:rPr>
          <w:sz w:val="24"/>
          <w:szCs w:val="24"/>
        </w:rPr>
      </w:r>
    </w:p>
    <w:p>
      <w:pPr>
        <w:pStyle w:val="Normal"/>
        <w:spacing w:lineRule="auto" w:line="240" w:before="0" w:after="0"/>
        <w:ind w:left="851" w:hanging="0"/>
        <w:jc w:val="both"/>
        <w:rPr>
          <w:sz w:val="24"/>
          <w:szCs w:val="24"/>
        </w:rPr>
      </w:pPr>
      <w:r>
        <w:rPr>
          <w:sz w:val="24"/>
          <w:szCs w:val="24"/>
        </w:rPr>
      </w:r>
    </w:p>
    <w:p>
      <w:pPr>
        <w:pStyle w:val="Normal"/>
        <w:spacing w:lineRule="auto" w:line="240" w:before="0" w:after="0"/>
        <w:jc w:val="both"/>
        <w:rPr>
          <w:b/>
          <w:b/>
          <w:bCs/>
          <w:sz w:val="24"/>
          <w:szCs w:val="24"/>
        </w:rPr>
      </w:pPr>
      <w:r>
        <w:rPr>
          <w:b/>
          <w:bCs/>
          <w:sz w:val="24"/>
          <w:szCs w:val="24"/>
        </w:rPr>
        <w:t>15.1. Justificativa da Viabilidade</w:t>
      </w:r>
    </w:p>
    <w:p>
      <w:pPr>
        <w:pStyle w:val="Standard"/>
        <w:widowControl w:val="false"/>
        <w:spacing w:lineRule="auto" w:line="276" w:before="240" w:after="160"/>
        <w:jc w:val="both"/>
        <w:rPr>
          <w:b w:val="false"/>
          <w:b w:val="false"/>
          <w:bCs w:val="false"/>
          <w:sz w:val="24"/>
          <w:szCs w:val="24"/>
        </w:rPr>
      </w:pPr>
      <w:r>
        <w:rPr>
          <w:rFonts w:cs="Calibri" w:ascii="Calibri" w:hAnsi="Calibri"/>
          <w:b w:val="false"/>
          <w:bCs w:val="false"/>
          <w:color w:val="00000A"/>
          <w:sz w:val="24"/>
          <w:szCs w:val="24"/>
        </w:rPr>
        <w:t>Com base nas especificações técnicas do material e na pesquisa de preços realizada junto aos sítios eletrônicos e empresa, o item deste processo podem ser atendido pelo mercado nacional.</w:t>
      </w:r>
    </w:p>
    <w:p>
      <w:pPr>
        <w:pStyle w:val="Normal"/>
        <w:spacing w:lineRule="auto" w:line="240" w:before="0" w:after="0"/>
        <w:jc w:val="both"/>
        <w:rPr>
          <w:rFonts w:cs="LiberationSerif-Bold"/>
          <w:b/>
          <w:b/>
          <w:bCs/>
          <w:color w:val="000000"/>
          <w:sz w:val="24"/>
          <w:szCs w:val="24"/>
        </w:rPr>
      </w:pPr>
      <w:r>
        <w:rPr>
          <w:rFonts w:cs="LiberationSerif-Bold"/>
          <w:b/>
          <w:bCs/>
          <w:color w:val="000000"/>
          <w:sz w:val="24"/>
          <w:szCs w:val="24"/>
        </w:rPr>
        <w:t>16. Do Acesso às informações contidas no presente Estudo Técnico Preliminar</w:t>
      </w:r>
    </w:p>
    <w:p>
      <w:pPr>
        <w:pStyle w:val="Normal"/>
        <w:spacing w:lineRule="auto" w:line="240" w:before="0" w:after="0"/>
        <w:jc w:val="both"/>
        <w:rPr>
          <w:rFonts w:cs="LiberationSerif-Bold"/>
          <w:b/>
          <w:b/>
          <w:bCs/>
          <w:color w:val="000000"/>
          <w:sz w:val="24"/>
          <w:szCs w:val="24"/>
        </w:rPr>
      </w:pPr>
      <w:r>
        <w:rPr>
          <w:rFonts w:cs="LiberationSerif-Bold"/>
          <w:b/>
          <w:bCs/>
          <w:color w:val="000000"/>
          <w:sz w:val="24"/>
          <w:szCs w:val="24"/>
        </w:rPr>
      </w:r>
    </w:p>
    <w:p>
      <w:pPr>
        <w:pStyle w:val="Normal"/>
        <w:jc w:val="both"/>
        <w:rPr>
          <w:sz w:val="24"/>
          <w:szCs w:val="24"/>
        </w:rPr>
      </w:pPr>
      <w:r>
        <w:rPr>
          <w:sz w:val="24"/>
          <w:szCs w:val="24"/>
        </w:rPr>
        <w:t>Nos termos da Lei nº 12.527, de 18 de novembro de 2011, esta Equipe de Planejamento entende que:</w:t>
      </w:r>
    </w:p>
    <w:p>
      <w:pPr>
        <w:pStyle w:val="Normal"/>
        <w:spacing w:lineRule="auto" w:line="240" w:before="0" w:after="0"/>
        <w:ind w:left="851" w:hanging="0"/>
        <w:jc w:val="both"/>
        <w:rPr>
          <w:sz w:val="24"/>
          <w:szCs w:val="24"/>
        </w:rPr>
      </w:pPr>
      <w:r>
        <mc:AlternateContent>
          <mc:Choice Requires="wps">
            <w:drawing>
              <wp:anchor behindDoc="0" distT="0" distB="6350" distL="0" distR="6350" simplePos="0" locked="0" layoutInCell="0" allowOverlap="1" relativeHeight="5" wp14:anchorId="63B46E2B">
                <wp:simplePos x="0" y="0"/>
                <wp:positionH relativeFrom="column">
                  <wp:posOffset>-43180</wp:posOffset>
                </wp:positionH>
                <wp:positionV relativeFrom="paragraph">
                  <wp:posOffset>26035</wp:posOffset>
                </wp:positionV>
                <wp:extent cx="433070" cy="361950"/>
                <wp:effectExtent l="6985" t="6985" r="5715" b="5715"/>
                <wp:wrapNone/>
                <wp:docPr id="6" name="Retângulo 5"/>
                <a:graphic xmlns:a="http://schemas.openxmlformats.org/drawingml/2006/main">
                  <a:graphicData uri="http://schemas.microsoft.com/office/word/2010/wordprocessingShape">
                    <wps:wsp>
                      <wps:cNvSpPr/>
                      <wps:spPr>
                        <a:xfrm>
                          <a:off x="0" y="0"/>
                          <a:ext cx="432360" cy="361440"/>
                        </a:xfrm>
                        <a:prstGeom prst="rect">
                          <a:avLst/>
                        </a:prstGeom>
                        <a:solidFill>
                          <a:srgbClr val="ffffff"/>
                        </a:solidFill>
                        <a:ln>
                          <a:solidFill>
                            <a:srgbClr val="000000"/>
                          </a:solidFill>
                        </a:ln>
                      </wps:spPr>
                      <wps:style>
                        <a:lnRef idx="2">
                          <a:schemeClr val="dk1"/>
                        </a:lnRef>
                        <a:fillRef idx="1">
                          <a:schemeClr val="lt1"/>
                        </a:fillRef>
                        <a:effectRef idx="0">
                          <a:schemeClr val="dk1"/>
                        </a:effectRef>
                        <a:fontRef idx="minor"/>
                      </wps:style>
                      <wps:txbx>
                        <w:txbxContent>
                          <w:p>
                            <w:pPr>
                              <w:pStyle w:val="Contedodoquadro"/>
                              <w:overflowPunct w:val="false"/>
                              <w:spacing w:lineRule="auto" w:line="240" w:before="0" w:after="0"/>
                              <w:jc w:val="left"/>
                              <w:rPr>
                                <w:color w:val="000000"/>
                              </w:rPr>
                            </w:pPr>
                            <w:r>
                              <w:rPr>
                                <w:rFonts w:eastAsia="Calibri" w:cs="" w:cstheme="minorBidi" w:eastAsiaTheme="minorHAnsi"/>
                                <w:color w:val="000000"/>
                                <w:sz w:val="36"/>
                              </w:rPr>
                              <w:t xml:space="preserve"> </w:t>
                            </w:r>
                            <w:r>
                              <w:rPr>
                                <w:rFonts w:eastAsia="Calibri" w:cs="" w:cstheme="minorBidi" w:eastAsiaTheme="minorHAnsi"/>
                                <w:color w:val="000000"/>
                                <w:sz w:val="36"/>
                              </w:rPr>
                              <w:t>X</w:t>
                            </w:r>
                          </w:p>
                        </w:txbxContent>
                      </wps:txbx>
                      <wps:bodyPr lIns="90000" rIns="90000" tIns="45000" bIns="45000">
                        <a:noAutofit/>
                      </wps:bodyPr>
                    </wps:wsp>
                  </a:graphicData>
                </a:graphic>
              </wp:anchor>
            </w:drawing>
          </mc:Choice>
          <mc:Fallback>
            <w:pict>
              <v:rect id="shape_0" ID="Retângulo 5" path="m0,0l-2147483645,0l-2147483645,-2147483646l0,-2147483646xe" fillcolor="white" stroked="t" style="position:absolute;margin-left:-3.4pt;margin-top:2.05pt;width:34pt;height:28.4pt;mso-wrap-style:square;v-text-anchor:top" wp14:anchorId="63B46E2B">
                <v:fill o:detectmouseclick="t" type="solid" color2="black"/>
                <v:stroke color="black" weight="12600" joinstyle="miter" endcap="flat"/>
                <v:textbox>
                  <w:txbxContent>
                    <w:p>
                      <w:pPr>
                        <w:pStyle w:val="Contedodoquadro"/>
                        <w:overflowPunct w:val="false"/>
                        <w:spacing w:lineRule="auto" w:line="240" w:before="0" w:after="0"/>
                        <w:jc w:val="left"/>
                        <w:rPr>
                          <w:color w:val="000000"/>
                        </w:rPr>
                      </w:pPr>
                      <w:r>
                        <w:rPr>
                          <w:rFonts w:eastAsia="Calibri" w:cs="" w:cstheme="minorBidi" w:eastAsiaTheme="minorHAnsi"/>
                          <w:color w:val="000000"/>
                          <w:sz w:val="36"/>
                        </w:rPr>
                        <w:t xml:space="preserve"> </w:t>
                      </w:r>
                      <w:r>
                        <w:rPr>
                          <w:rFonts w:eastAsia="Calibri" w:cs="" w:cstheme="minorBidi" w:eastAsiaTheme="minorHAnsi"/>
                          <w:color w:val="000000"/>
                          <w:sz w:val="36"/>
                        </w:rPr>
                        <w:t>X</w:t>
                      </w:r>
                    </w:p>
                  </w:txbxContent>
                </v:textbox>
                <w10:wrap type="none"/>
              </v:rect>
            </w:pict>
          </mc:Fallback>
        </mc:AlternateContent>
      </w:r>
      <w:r>
        <w:rPr>
          <w:sz w:val="24"/>
          <w:szCs w:val="24"/>
        </w:rPr>
        <w:t xml:space="preserve">As informações contidas nos presentes Estudos Preliminares </w:t>
      </w:r>
      <w:r>
        <w:rPr>
          <w:b/>
          <w:bCs/>
          <w:sz w:val="24"/>
          <w:szCs w:val="24"/>
        </w:rPr>
        <w:t>DEVERÃO ESTAR DISPONÍVEIS</w:t>
      </w:r>
      <w:r>
        <w:rPr>
          <w:sz w:val="24"/>
          <w:szCs w:val="24"/>
        </w:rPr>
        <w:t xml:space="preserve"> para qualquer interessado, pois não se caracterizam como sigilosas.</w:t>
      </w:r>
    </w:p>
    <w:p>
      <w:pPr>
        <w:pStyle w:val="Normal"/>
        <w:spacing w:lineRule="auto" w:line="240" w:before="0" w:after="0"/>
        <w:jc w:val="both"/>
        <w:rPr>
          <w:sz w:val="24"/>
          <w:szCs w:val="24"/>
        </w:rPr>
      </w:pPr>
      <w:r>
        <w:rPr>
          <w:sz w:val="24"/>
          <w:szCs w:val="24"/>
        </w:rPr>
      </w:r>
    </w:p>
    <w:p>
      <w:pPr>
        <w:pStyle w:val="Normal"/>
        <w:spacing w:lineRule="auto" w:line="240" w:before="0" w:after="0"/>
        <w:ind w:left="851" w:hanging="0"/>
        <w:jc w:val="both"/>
        <w:rPr>
          <w:rFonts w:cs="LiberationSerif-Bold"/>
          <w:b/>
          <w:b/>
          <w:bCs/>
          <w:color w:val="000000"/>
          <w:sz w:val="24"/>
          <w:szCs w:val="24"/>
        </w:rPr>
      </w:pPr>
      <w:r>
        <mc:AlternateContent>
          <mc:Choice Requires="wps">
            <w:drawing>
              <wp:anchor behindDoc="0" distT="635" distB="635" distL="0" distR="6350" simplePos="0" locked="0" layoutInCell="0" allowOverlap="1" relativeHeight="4" wp14:anchorId="3DDD9F02">
                <wp:simplePos x="0" y="0"/>
                <wp:positionH relativeFrom="margin">
                  <wp:posOffset>-34290</wp:posOffset>
                </wp:positionH>
                <wp:positionV relativeFrom="paragraph">
                  <wp:posOffset>93345</wp:posOffset>
                </wp:positionV>
                <wp:extent cx="414020" cy="335915"/>
                <wp:effectExtent l="6985" t="6350" r="5715" b="6350"/>
                <wp:wrapNone/>
                <wp:docPr id="8" name="Retângulo 6"/>
                <a:graphic xmlns:a="http://schemas.openxmlformats.org/drawingml/2006/main">
                  <a:graphicData uri="http://schemas.microsoft.com/office/word/2010/wordprocessingShape">
                    <wps:wsp>
                      <wps:cNvSpPr/>
                      <wps:spPr>
                        <a:xfrm>
                          <a:off x="0" y="0"/>
                          <a:ext cx="413280" cy="335160"/>
                        </a:xfrm>
                        <a:prstGeom prst="rect">
                          <a:avLst/>
                        </a:prstGeom>
                        <a:solidFill>
                          <a:srgbClr val="ffffff"/>
                        </a:solidFill>
                        <a:ln>
                          <a:solidFill>
                            <a:srgbClr val="000000"/>
                          </a:solidFill>
                        </a:ln>
                      </wps:spPr>
                      <wps:style>
                        <a:lnRef idx="2">
                          <a:schemeClr val="dk1"/>
                        </a:lnRef>
                        <a:fillRef idx="1">
                          <a:schemeClr val="lt1"/>
                        </a:fillRef>
                        <a:effectRef idx="0">
                          <a:schemeClr val="dk1"/>
                        </a:effectRef>
                        <a:fontRef idx="minor"/>
                      </wps:style>
                      <wps:bodyPr/>
                    </wps:wsp>
                  </a:graphicData>
                </a:graphic>
              </wp:anchor>
            </w:drawing>
          </mc:Choice>
          <mc:Fallback>
            <w:pict>
              <v:rect id="shape_0" ID="Retângulo 6" path="m0,0l-2147483645,0l-2147483645,-2147483646l0,-2147483646xe" fillcolor="white" stroked="t" style="position:absolute;margin-left:-2.7pt;margin-top:7.35pt;width:32.5pt;height:26.35pt;mso-wrap-style:none;v-text-anchor:middle;mso-position-horizontal-relative:margin" wp14:anchorId="3DDD9F02">
                <v:fill o:detectmouseclick="t" type="solid" color2="black"/>
                <v:stroke color="black" weight="12600" joinstyle="miter" endcap="flat"/>
                <w10:wrap type="none"/>
              </v:rect>
            </w:pict>
          </mc:Fallback>
        </mc:AlternateContent>
      </w:r>
      <w:r>
        <w:rPr>
          <w:sz w:val="24"/>
          <w:szCs w:val="24"/>
        </w:rPr>
        <w:t xml:space="preserve">As informações contidas nos presentes Estudos Preliminares </w:t>
      </w:r>
      <w:r>
        <w:rPr>
          <w:b/>
          <w:bCs/>
          <w:sz w:val="24"/>
          <w:szCs w:val="24"/>
        </w:rPr>
        <w:t>ASSUMEM CARÁTER SIGILOSO</w:t>
      </w:r>
      <w:r>
        <w:rPr>
          <w:sz w:val="24"/>
          <w:szCs w:val="24"/>
        </w:rPr>
        <w:t>, nos termos do Art. 23 da Lei nº 12.527/2011, e, portanto, deverão ter acesso restrito.</w:t>
      </w:r>
    </w:p>
    <w:p>
      <w:pPr>
        <w:pStyle w:val="Normal"/>
        <w:spacing w:lineRule="auto" w:line="240" w:before="0" w:after="0"/>
        <w:jc w:val="both"/>
        <w:rPr>
          <w:rFonts w:cs="LiberationSerif-Bold"/>
          <w:b/>
          <w:b/>
          <w:bCs/>
          <w:color w:val="000000"/>
          <w:sz w:val="24"/>
          <w:szCs w:val="24"/>
        </w:rPr>
      </w:pPr>
      <w:r>
        <w:rPr>
          <w:rFonts w:cs="LiberationSerif-Bold"/>
          <w:b/>
          <w:bCs/>
          <w:color w:val="000000"/>
          <w:sz w:val="24"/>
          <w:szCs w:val="24"/>
        </w:rPr>
      </w:r>
    </w:p>
    <w:p>
      <w:pPr>
        <w:pStyle w:val="Normal"/>
        <w:spacing w:lineRule="auto" w:line="240" w:before="0" w:after="0"/>
        <w:jc w:val="both"/>
        <w:rPr>
          <w:b/>
          <w:b/>
          <w:bCs/>
          <w:color w:val="000000"/>
          <w:sz w:val="24"/>
          <w:szCs w:val="24"/>
        </w:rPr>
      </w:pPr>
      <w:r>
        <w:rPr>
          <w:rFonts w:cs="LiberationSerif-Bold"/>
          <w:b/>
          <w:bCs/>
          <w:color w:val="000000"/>
          <w:sz w:val="24"/>
          <w:szCs w:val="24"/>
        </w:rPr>
        <w:t xml:space="preserve">16. </w:t>
      </w:r>
      <w:r>
        <w:rPr>
          <w:b/>
          <w:bCs/>
          <w:color w:val="000000"/>
          <w:sz w:val="24"/>
          <w:szCs w:val="24"/>
        </w:rPr>
        <w:t>Responsabilidade da Equipe de Planejamento pela Elaboração e Conteúdo do Documento</w:t>
      </w:r>
    </w:p>
    <w:p>
      <w:pPr>
        <w:pStyle w:val="Normal"/>
        <w:spacing w:lineRule="auto" w:line="240" w:before="0" w:after="0"/>
        <w:jc w:val="both"/>
        <w:rPr>
          <w:b/>
          <w:b/>
          <w:bCs/>
          <w:color w:val="000000"/>
          <w:sz w:val="24"/>
          <w:szCs w:val="24"/>
        </w:rPr>
      </w:pPr>
      <w:r>
        <w:rPr>
          <w:b/>
          <w:bCs/>
          <w:color w:val="000000"/>
          <w:sz w:val="24"/>
          <w:szCs w:val="24"/>
        </w:rPr>
      </w:r>
    </w:p>
    <w:p>
      <w:pPr>
        <w:pStyle w:val="Normal"/>
        <w:spacing w:lineRule="auto" w:line="240" w:before="0" w:after="0"/>
        <w:jc w:val="both"/>
        <w:rPr>
          <w:sz w:val="24"/>
          <w:szCs w:val="24"/>
        </w:rPr>
      </w:pPr>
      <w:r>
        <w:rPr>
          <w:sz w:val="24"/>
          <w:szCs w:val="24"/>
        </w:rPr>
        <w:t>Certificamos que somos responsáveis pela elaboração do presente documento.</w:t>
      </w:r>
    </w:p>
    <w:p>
      <w:pPr>
        <w:pStyle w:val="Normal"/>
        <w:spacing w:lineRule="auto" w:line="240" w:before="0" w:after="0"/>
        <w:jc w:val="both"/>
        <w:rPr>
          <w:sz w:val="24"/>
          <w:szCs w:val="24"/>
        </w:rPr>
      </w:pPr>
      <w:r>
        <w:rPr>
          <w:sz w:val="24"/>
          <w:szCs w:val="24"/>
        </w:rPr>
      </w:r>
    </w:p>
    <w:p>
      <w:pPr>
        <w:pStyle w:val="Normal"/>
        <w:spacing w:lineRule="auto" w:line="240" w:before="0" w:after="0"/>
        <w:jc w:val="center"/>
        <w:rPr>
          <w:sz w:val="24"/>
          <w:szCs w:val="24"/>
        </w:rPr>
      </w:pPr>
      <w:r>
        <w:rPr>
          <w:sz w:val="24"/>
          <w:szCs w:val="24"/>
        </w:rPr>
        <w:t>Rio de Janeiro, RJ, 23 de fevereiro de 2023</w:t>
      </w:r>
    </w:p>
    <w:p>
      <w:pPr>
        <w:pStyle w:val="Normal"/>
        <w:spacing w:lineRule="auto" w:line="240" w:before="0" w:after="0"/>
        <w:jc w:val="center"/>
        <w:rPr>
          <w:sz w:val="24"/>
          <w:szCs w:val="24"/>
        </w:rPr>
      </w:pPr>
      <w:r>
        <w:rPr>
          <w:sz w:val="24"/>
          <w:szCs w:val="24"/>
        </w:rPr>
      </w:r>
    </w:p>
    <w:p>
      <w:pPr>
        <w:pStyle w:val="Normal"/>
        <w:spacing w:lineRule="auto" w:line="240" w:before="0" w:after="0"/>
        <w:jc w:val="center"/>
        <w:rPr>
          <w:sz w:val="24"/>
          <w:szCs w:val="24"/>
        </w:rPr>
      </w:pPr>
      <w:r>
        <w:rPr>
          <w:sz w:val="24"/>
          <w:szCs w:val="24"/>
        </w:rPr>
        <w:t>Integrantes da Equipe de Planejamento da Contratação</w:t>
      </w:r>
    </w:p>
    <w:p>
      <w:pPr>
        <w:pStyle w:val="Normal"/>
        <w:spacing w:lineRule="auto" w:line="240" w:before="0" w:after="0"/>
        <w:jc w:val="center"/>
        <w:rPr>
          <w:sz w:val="24"/>
          <w:szCs w:val="24"/>
        </w:rPr>
      </w:pPr>
      <w:r>
        <w:rPr>
          <w:sz w:val="24"/>
          <w:szCs w:val="24"/>
        </w:rPr>
      </w:r>
    </w:p>
    <w:p>
      <w:pPr>
        <w:pStyle w:val="Contedodatabela"/>
        <w:jc w:val="center"/>
        <w:rPr>
          <w:rFonts w:ascii="Calibri" w:hAnsi="Calibri" w:cs="Open Sans" w:asciiTheme="minorHAnsi" w:hAnsiTheme="minorHAnsi"/>
        </w:rPr>
      </w:pPr>
      <w:r>
        <w:rPr>
          <w:rFonts w:cs="Open Sans" w:ascii="Calibri" w:hAnsi="Calibri" w:asciiTheme="minorHAnsi" w:hAnsiTheme="minorHAnsi"/>
        </w:rPr>
        <w:t>________________________________</w:t>
      </w:r>
    </w:p>
    <w:p>
      <w:pPr>
        <w:pStyle w:val="Contedodatabela"/>
        <w:jc w:val="center"/>
        <w:rPr>
          <w:rFonts w:ascii="Calibri" w:hAnsi="Calibri" w:cs="Open Sans" w:asciiTheme="minorHAnsi" w:hAnsiTheme="minorHAnsi"/>
        </w:rPr>
      </w:pPr>
      <w:r>
        <w:rPr>
          <w:rFonts w:cs="Open Sans" w:ascii="Calibri" w:hAnsi="Calibri" w:asciiTheme="minorHAnsi" w:hAnsiTheme="minorHAnsi"/>
        </w:rPr>
        <w:t xml:space="preserve">Maria de </w:t>
      </w:r>
      <w:r>
        <w:rPr>
          <w:rFonts w:cs="Open Sans" w:ascii="Calibri" w:hAnsi="Calibri" w:asciiTheme="minorHAnsi" w:hAnsiTheme="minorHAnsi"/>
          <w:b/>
          <w:bCs/>
        </w:rPr>
        <w:t>Fátima</w:t>
      </w:r>
      <w:r>
        <w:rPr>
          <w:rFonts w:cs="Open Sans" w:ascii="Calibri" w:hAnsi="Calibri" w:asciiTheme="minorHAnsi" w:hAnsiTheme="minorHAnsi"/>
        </w:rPr>
        <w:t xml:space="preserve"> dos Santos Gomes - TC</w:t>
      </w:r>
    </w:p>
    <w:p>
      <w:pPr>
        <w:pStyle w:val="Normal"/>
        <w:spacing w:lineRule="auto" w:line="240" w:before="0" w:after="0"/>
        <w:jc w:val="center"/>
        <w:rPr>
          <w:rFonts w:cs="LiberationSerif-Bold"/>
          <w:color w:val="000000"/>
          <w:sz w:val="24"/>
          <w:szCs w:val="24"/>
        </w:rPr>
      </w:pPr>
      <w:r>
        <w:rPr>
          <w:rFonts w:cs="LiberationSerif-Bold"/>
          <w:color w:val="000000"/>
          <w:sz w:val="24"/>
          <w:szCs w:val="24"/>
        </w:rPr>
      </w:r>
    </w:p>
    <w:p>
      <w:pPr>
        <w:pStyle w:val="Contedodatabela"/>
        <w:jc w:val="center"/>
        <w:rPr>
          <w:rFonts w:ascii="Calibri" w:hAnsi="Calibri" w:cs="Open Sans" w:asciiTheme="minorHAnsi" w:hAnsiTheme="minorHAnsi"/>
        </w:rPr>
      </w:pPr>
      <w:r>
        <w:rPr>
          <w:rFonts w:cs="Open Sans" w:ascii="Calibri" w:hAnsi="Calibri" w:asciiTheme="minorHAnsi" w:hAnsiTheme="minorHAnsi"/>
        </w:rPr>
        <w:t>________________________________</w:t>
      </w:r>
    </w:p>
    <w:p>
      <w:pPr>
        <w:pStyle w:val="Contedodatabela"/>
        <w:jc w:val="center"/>
        <w:rPr>
          <w:rFonts w:ascii="Calibri" w:hAnsi="Calibri" w:cs="Open Sans" w:asciiTheme="minorHAnsi" w:hAnsiTheme="minorHAnsi"/>
        </w:rPr>
      </w:pPr>
      <w:r>
        <w:rPr>
          <w:rFonts w:cs="Open Sans" w:ascii="Calibri" w:hAnsi="Calibri" w:asciiTheme="minorHAnsi" w:hAnsiTheme="minorHAnsi"/>
        </w:rPr>
        <w:t xml:space="preserve">Sandro Luiz Alverne </w:t>
      </w:r>
      <w:r>
        <w:rPr>
          <w:rFonts w:cs="Open Sans" w:ascii="Calibri" w:hAnsi="Calibri" w:asciiTheme="minorHAnsi" w:hAnsiTheme="minorHAnsi"/>
          <w:b/>
          <w:bCs/>
        </w:rPr>
        <w:t>Lodi</w:t>
      </w:r>
      <w:r>
        <w:rPr>
          <w:rFonts w:cs="Open Sans" w:ascii="Calibri" w:hAnsi="Calibri" w:asciiTheme="minorHAnsi" w:hAnsiTheme="minorHAnsi"/>
        </w:rPr>
        <w:t xml:space="preserve"> - TC</w:t>
      </w:r>
    </w:p>
    <w:p>
      <w:pPr>
        <w:pStyle w:val="Contedodatabela"/>
        <w:jc w:val="center"/>
        <w:rPr>
          <w:rFonts w:ascii="Calibri" w:hAnsi="Calibri" w:cs="Open Sans" w:asciiTheme="minorHAnsi" w:hAnsiTheme="minorHAnsi"/>
        </w:rPr>
      </w:pPr>
      <w:r>
        <w:rPr>
          <w:rFonts w:cs="Open Sans" w:ascii="Calibri" w:hAnsi="Calibri"/>
        </w:rPr>
      </w:r>
    </w:p>
    <w:p>
      <w:pPr>
        <w:pStyle w:val="Contedodatabela"/>
        <w:jc w:val="center"/>
        <w:rPr>
          <w:rFonts w:ascii="Calibri" w:hAnsi="Calibri" w:cs="Open Sans" w:asciiTheme="minorHAnsi" w:hAnsiTheme="minorHAnsi"/>
        </w:rPr>
      </w:pPr>
      <w:r>
        <w:rPr>
          <w:rFonts w:cs="Open Sans" w:ascii="Calibri" w:hAnsi="Calibri" w:asciiTheme="minorHAnsi" w:hAnsiTheme="minorHAnsi"/>
        </w:rPr>
        <w:t>_____________________________</w:t>
      </w:r>
    </w:p>
    <w:p>
      <w:pPr>
        <w:pStyle w:val="Contedodatabela"/>
        <w:jc w:val="center"/>
        <w:rPr>
          <w:rFonts w:ascii="Calibri" w:hAnsi="Calibri" w:cs="Open Sans" w:asciiTheme="minorHAnsi" w:hAnsiTheme="minorHAnsi"/>
        </w:rPr>
      </w:pPr>
      <w:r>
        <w:rPr>
          <w:rFonts w:cs="Open Sans" w:ascii="Calibri" w:hAnsi="Calibri" w:asciiTheme="minorHAnsi" w:hAnsiTheme="minorHAnsi"/>
        </w:rPr>
        <w:t xml:space="preserve">Fábio </w:t>
      </w:r>
      <w:r>
        <w:rPr>
          <w:rFonts w:cs="Open Sans" w:ascii="Calibri" w:hAnsi="Calibri" w:asciiTheme="minorHAnsi" w:hAnsiTheme="minorHAnsi"/>
          <w:b/>
          <w:bCs/>
        </w:rPr>
        <w:t>Gomes</w:t>
      </w:r>
      <w:r>
        <w:rPr>
          <w:rFonts w:cs="Open Sans" w:ascii="Calibri" w:hAnsi="Calibri" w:asciiTheme="minorHAnsi" w:hAnsiTheme="minorHAnsi"/>
        </w:rPr>
        <w:t xml:space="preserve"> </w:t>
      </w:r>
      <w:r>
        <w:rPr>
          <w:rFonts w:cs="Open Sans" w:ascii="Calibri" w:hAnsi="Calibri" w:asciiTheme="minorHAnsi" w:hAnsiTheme="minorHAnsi"/>
          <w:b/>
          <w:bCs/>
        </w:rPr>
        <w:t>Vieira</w:t>
      </w:r>
      <w:r>
        <w:rPr>
          <w:rFonts w:cs="Open Sans" w:ascii="Calibri" w:hAnsi="Calibri" w:asciiTheme="minorHAnsi" w:hAnsiTheme="minorHAnsi"/>
        </w:rPr>
        <w:t xml:space="preserve"> - Maj</w:t>
      </w:r>
    </w:p>
    <w:sectPr>
      <w:type w:val="nextPage"/>
      <w:pgSz w:w="11906" w:h="16838"/>
      <w:pgMar w:left="1134" w:right="1134" w:header="0" w:top="851" w:footer="0" w:bottom="851"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roman"/>
    <w:pitch w:val="variable"/>
  </w:font>
  <w:font w:name="Calibri">
    <w:charset w:val="01"/>
    <w:family w:val="swiss"/>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pt-BR" w:eastAsia="en-US" w:bidi="ar-SA"/>
    </w:rPr>
  </w:style>
  <w:style w:type="character" w:styleId="DefaultParagraphFont" w:default="1">
    <w:name w:val="Default Paragraph Font"/>
    <w:uiPriority w:val="1"/>
    <w:semiHidden/>
    <w:unhideWhenUsed/>
    <w:qFormat/>
    <w:rPr/>
  </w:style>
  <w:style w:type="character" w:styleId="CorpodetextoChar" w:customStyle="1">
    <w:name w:val="Corpo de texto Char"/>
    <w:basedOn w:val="DefaultParagraphFont"/>
    <w:semiHidden/>
    <w:qFormat/>
    <w:rsid w:val="00f53b30"/>
    <w:rPr>
      <w:rFonts w:ascii="Liberation Serif" w:hAnsi="Liberation Serif" w:eastAsia="SimSun" w:cs="Mangal"/>
      <w:kern w:val="2"/>
      <w:sz w:val="24"/>
      <w:szCs w:val="24"/>
      <w:lang w:eastAsia="zh-CN" w:bidi="hi-IN"/>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link w:val="CorpodetextoChar"/>
    <w:semiHidden/>
    <w:unhideWhenUsed/>
    <w:rsid w:val="00f53b30"/>
    <w:pPr>
      <w:widowControl w:val="false"/>
      <w:overflowPunct w:val="false"/>
      <w:spacing w:lineRule="auto" w:line="288" w:before="0" w:after="140"/>
    </w:pPr>
    <w:rPr>
      <w:rFonts w:ascii="Liberation Serif" w:hAnsi="Liberation Serif" w:eastAsia="SimSun" w:cs="Mangal"/>
      <w:kern w:val="2"/>
      <w:sz w:val="24"/>
      <w:szCs w:val="24"/>
      <w:lang w:eastAsia="zh-CN" w:bidi="hi-IN"/>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istParagraph">
    <w:name w:val="List Paragraph"/>
    <w:basedOn w:val="Normal"/>
    <w:uiPriority w:val="34"/>
    <w:qFormat/>
    <w:rsid w:val="009d46f5"/>
    <w:pPr>
      <w:spacing w:before="0" w:after="160"/>
      <w:ind w:left="720" w:hanging="0"/>
      <w:contextualSpacing/>
    </w:pPr>
    <w:rPr/>
  </w:style>
  <w:style w:type="paragraph" w:styleId="Textojustificadorecuoprimeiralinha" w:customStyle="1">
    <w:name w:val="texto_justificado_recuo_primeira_linha"/>
    <w:basedOn w:val="Normal"/>
    <w:qFormat/>
    <w:rsid w:val="00ba0458"/>
    <w:pPr>
      <w:spacing w:lineRule="auto" w:line="240" w:beforeAutospacing="1" w:afterAutospacing="1"/>
    </w:pPr>
    <w:rPr>
      <w:rFonts w:ascii="Times New Roman" w:hAnsi="Times New Roman" w:eastAsia="Times New Roman" w:cs="Times New Roman"/>
      <w:sz w:val="24"/>
      <w:szCs w:val="24"/>
      <w:lang w:eastAsia="pt-BR"/>
    </w:rPr>
  </w:style>
  <w:style w:type="paragraph" w:styleId="Contedodatabela" w:customStyle="1">
    <w:name w:val="Conteúdo da tabela"/>
    <w:basedOn w:val="Normal"/>
    <w:qFormat/>
    <w:rsid w:val="0013516d"/>
    <w:pPr>
      <w:widowControl w:val="false"/>
      <w:overflowPunct w:val="false"/>
      <w:spacing w:lineRule="auto" w:line="240" w:before="0" w:after="0"/>
    </w:pPr>
    <w:rPr>
      <w:rFonts w:ascii="Liberation Serif" w:hAnsi="Liberation Serif" w:eastAsia="SimSun" w:cs="Mangal"/>
      <w:kern w:val="2"/>
      <w:sz w:val="24"/>
      <w:szCs w:val="24"/>
      <w:lang w:eastAsia="zh-CN" w:bidi="hi-IN"/>
    </w:rPr>
  </w:style>
  <w:style w:type="paragraph" w:styleId="Contedodoquadro">
    <w:name w:val="Conteúdo do quadro"/>
    <w:basedOn w:val="Normal"/>
    <w:qFormat/>
    <w:pPr/>
    <w:rPr/>
  </w:style>
  <w:style w:type="paragraph" w:styleId="Standard">
    <w:name w:val="Standard"/>
    <w:qFormat/>
    <w:pPr>
      <w:widowControl/>
      <w:suppressAutoHyphens w:val="true"/>
      <w:bidi w:val="0"/>
      <w:spacing w:lineRule="auto" w:line="240" w:before="0" w:after="0"/>
      <w:jc w:val="left"/>
      <w:textAlignment w:val="baseline"/>
    </w:pPr>
    <w:rPr>
      <w:rFonts w:ascii="Liberation Serif" w:hAnsi="Liberation Serif" w:eastAsia="NSimSun" w:cs="Mangal"/>
      <w:color w:val="auto"/>
      <w:kern w:val="2"/>
      <w:sz w:val="24"/>
      <w:szCs w:val="24"/>
      <w:lang w:val="pt-BR" w:eastAsia="zh-CN" w:bidi="hi-IN"/>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f07eb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Application>LibreOffice/7.1.5.2$Windows_x86 LibreOffice_project/85f04e9f809797b8199d13c421bd8a2b025d52b5</Application>
  <AppVersion>15.0000</AppVersion>
  <Pages>4</Pages>
  <Words>1285</Words>
  <Characters>7520</Characters>
  <CharactersWithSpaces>8746</CharactersWithSpaces>
  <Paragraphs>79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2022-10-28T13:26:00Z</dcterms:created>
  <dc:creator>Gabriela de Sousa Magalhaes</dc:creator>
  <dc:description/>
  <dc:language>pt-BR</dc:language>
  <cp:lastModifiedBy/>
  <dcterms:modified xsi:type="dcterms:W3CDTF">2023-02-23T11:45:40Z</dcterms:modified>
  <cp:revision>37</cp:revision>
  <dc:subject/>
  <dc:title/>
</cp:coreProperties>
</file>

<file path=docProps/custom.xml><?xml version="1.0" encoding="utf-8"?>
<Properties xmlns="http://schemas.openxmlformats.org/officeDocument/2006/custom-properties" xmlns:vt="http://schemas.openxmlformats.org/officeDocument/2006/docPropsVTypes"/>
</file>